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 Multiclase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RA3 Elabora modelos predictivos de clasificación, mediante el lenguaje de programación Python según la información del caso.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RA4 Aplica técnicas de evaluación de modelos de Machine Learning de clasificación, de acuerdo al tipo de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3.4 Utiliza lenguaje Python sobre Jupyter notebook, para construir modelos de clasificación en aprendizaje supervisado.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La actividad </w:t>
      </w:r>
      <w:r w:rsidDel="00000000" w:rsidR="00000000" w:rsidRPr="00000000">
        <w:rPr>
          <w:rtl w:val="0"/>
        </w:rPr>
        <w:t xml:space="preserve">aborda los modelos multiclase, denotando las diferencias con los modelos de tipo binarios, sobre todo en su campo de aplicación.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 las presentaciones expuestas en clases por el docente, se deberán desarrollar los dos notebooks de programas en Python propuestos.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Para completar la actividad, se deberán realizar los ejercicios indicados en cada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2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1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sYIni0q9sdxYm4jkzEmUD+xdQ==">CgMxLjA4AHIhMVJ5VERROUROYV9ONVdqc0dCSTdZOFBpV3E4Mk1qRUo0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