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MLY0100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Métricas de clasificación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RA3 Elabora modelos predictivos de clasificación, mediante el lenguaje de programación Python según la información del caso. 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RA4 Aplica técnicas de evaluación de modelos de Machine Learning de clasificación, de acuerdo al tipo de aprendizaje de máquinas supervisado, según las buenas prácticas de la industria.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4.1 Identifica métricas de evaluación de modelos de clasificación, considerando aprendizaje de máquinas supervisado, según las buenas prácticas de la industria. </w:t>
            </w:r>
          </w:p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4.3 Aplica técnicas de balance de clases para mejorar la generalización en el desempeño de los modelos de clasificación. </w:t>
            </w:r>
          </w:p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4.4 Analiza las métricas de los modelos de clasificación desarrollados, justificando el más adecuado dependiendo del caso. 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IL 4.5 Identifica las ventajas y desventajas de cada métrica en la evaluación de los modelos de clasificación.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La actividad busca repasar</w:t>
      </w:r>
      <w:r w:rsidDel="00000000" w:rsidR="00000000" w:rsidRPr="00000000">
        <w:rPr>
          <w:rtl w:val="0"/>
        </w:rPr>
        <w:t xml:space="preserve"> el concepto de la Matriz de Confusión, derivando desde ella las diferentes métricas que deben aplicarse en los modelos de clasificación. Un tema relevante, es revisar cómo analizar  la curva ROC  y el problema con el balance de clases.</w:t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4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partir de las presentaciones expuestas en clases por el docente, se deberán desarrollar los dos notebooks </w:t>
      </w:r>
      <w:r w:rsidDel="00000000" w:rsidR="00000000" w:rsidRPr="00000000">
        <w:rPr>
          <w:rtl w:val="0"/>
        </w:rPr>
        <w:t xml:space="preserve">programados en</w:t>
      </w:r>
      <w:r w:rsidDel="00000000" w:rsidR="00000000" w:rsidRPr="00000000">
        <w:rPr>
          <w:color w:val="000000"/>
          <w:rtl w:val="0"/>
        </w:rPr>
        <w:t xml:space="preserve"> Python propuestos.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4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Para completar la actividad, se deberán realizar los ejercicios indicados en cada notebook.</w:t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2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1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wJ1+SIPP7x6kCXwseu65pOZsGw==">CgMxLjA4AHIhMTRGM21pM244NkRCcmJVM3FfU0hUenNfNVRMb2RSdHNp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