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MLY0100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Métricas de clasificación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RA3 Elabora modelos predictivos de clasificación, mediante el lenguaje de programación Python según la información del caso. 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RA4 Aplica técnicas de evaluación de modelos de Machine Learning de clasificación, de acuerdo al tipo de aprendizaje de máquinas supervisado, según las buenas prácticas de la industria.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3.4 Utiliza lenguaje Python sobre Jupyter notebook, para construir modelos de clasificación en aprendizaje supervisado. </w:t>
            </w:r>
          </w:p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3.5 Identifica problemáticas asociadas al entrenamiento de los datos como overfitting y underfitting.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La actividad repasa</w:t>
      </w:r>
      <w:r w:rsidDel="00000000" w:rsidR="00000000" w:rsidRPr="00000000">
        <w:rPr>
          <w:rtl w:val="0"/>
        </w:rPr>
        <w:t xml:space="preserve"> el concepto de sobreajuste y se avanza en la utilización de las herramientas que permiten detectar estas anomalías.</w:t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1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partir de las presentaciones expuestas en clases por el docente, se deberán desarrollar los dos notebooks de programas Python propuestos.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1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Para completar la actividad, se deberán realizar los ejercicios indicados en cada notebook.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4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2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MhQNueIUf9Mh8KJb+qayjp9tfQ==">CgMxLjA4AHIhMVhwYm1uZ3dnMzN0TkJtZW94SEhTSUY2UmtYd0phRHdU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