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Preparation and Video Selection</w:t>
      </w:r>
    </w:p>
    <w:p>
      <w:r>
        <w:br/>
        <w:t>Overview</w:t>
        <w:br/>
        <w:t>This project uses a curated subset of videos derived from the UCF-Crime dataset for controlled experimentation in video-based event analysis. To ensure reproducibility, computational efficiency, and balanced representation across categories, a structured video selection and pruning process was followed.</w:t>
      </w:r>
    </w:p>
    <w:p>
      <w:r>
        <w:t>Original Dataset</w:t>
        <w:br/>
        <w:t>Source: UCF-Crime dataset</w:t>
        <w:br/>
        <w:t>Content: Long-duration surveillance videos across multiple anomaly categories and normal activities</w:t>
        <w:br/>
        <w:t>Challenge: Large size, high redundancy, varying motion intensity</w:t>
      </w:r>
    </w:p>
    <w:p>
      <w:r>
        <w:t>Selection Objective</w:t>
        <w:br/>
        <w:t>The objective of dataset selection was to retain representative videos per category, emphasize videos with meaningful motion/activity, maintain balanced class distribution, and reduce storage and computational overhead.</w:t>
      </w:r>
    </w:p>
    <w:p>
      <w:r>
        <w:t>Motion-Based Video Scoring</w:t>
        <w:br/>
        <w:t>Each video was processed to compute a motion score representing the average magnitude of frame-to-frame motion. Higher motion scores indicate higher activity intensity. This metric was used strictly for selection, not labeling.</w:t>
      </w:r>
    </w:p>
    <w:p>
      <w:r>
        <w:t>Video Selection Strategy</w:t>
        <w:br/>
        <w:t>Videos were ranked by motion score within each category. The top four videos per category were selected, resulting in a balanced dataset of anomaly and normal videos.</w:t>
      </w:r>
    </w:p>
    <w:p>
      <w:r>
        <w:t>Dataset Manifest</w:t>
        <w:br/>
        <w:t>A dataset manifest (dataset_manifest_v1.json) was created containing video filename, relative path, and motion score. This manifest acts as the single source of truth for all experiments.</w:t>
      </w:r>
    </w:p>
    <w:p>
      <w:r>
        <w:t>Dataset Pruning</w:t>
        <w:br/>
        <w:t>After finalizing the manifest, all non-selected videos were permanently removed. The remaining dataset size is approximately 1.15 GB. Directory structures were normalized and paths standardized.</w:t>
      </w:r>
    </w:p>
    <w:p>
      <w:r>
        <w:t>Final Dataset Properties</w:t>
        <w:br/>
        <w:t>The final dataset is balanced, reproducible, reduced in redundancy, and suitable for downstream video understanding tasks such as action recognition, object tracking, and event reconstruction.</w:t>
      </w:r>
    </w:p>
    <w:p>
      <w:r>
        <w:t>Reproducibility Note</w:t>
        <w:br/>
        <w:t>No further modifications are made after this stage. All experiments strictly reference the dataset manifest.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