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000000"/>
          <w:sz w:val="22"/>
          <w:szCs w:val="22"/>
        </w:rPr>
        <w:t xml:space="preserve">ECE 501: Digital Image Processing</w:t>
      </w:r>
    </w:p>
    <w:p>
      <w:pPr>
        <w:spacing w:after="40"/>
        <w:jc w:val="center"/>
      </w:pPr>
      <w:r>
        <w:rPr>
          <w:b/>
          <w:bCs/>
          <w:color w:val="000000"/>
          <w:sz w:val="30"/>
          <w:szCs w:val="30"/>
        </w:rPr>
        <w:t xml:space="preserve">Weekly Progress Report</w:t>
      </w:r>
    </w:p>
    <w:p>
      <w:pPr>
        <w:spacing w:after="200"/>
        <w:jc w:val="center"/>
      </w:pPr>
      <w:r>
        <w:rPr>
          <w:b/>
          <w:bCs/>
          <w:color w:val="000000"/>
          <w:sz w:val="24"/>
          <w:szCs w:val="24"/>
        </w:rPr>
        <w:t xml:space="preserve">Project 19: SAR and Optical Feature Fusion for Crop Classification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60"/>
        <w:gridCol w:w="6120"/>
      </w:tblGrid>
      <w:tr>
        <w:tc>
          <w:tcPr>
            <w:tcW w:type="dxa" w:w="3060"/>
            <w:tcBorders>
              <w:top w:val="single" w:color="000000" w:sz="4"/>
              <w:left w:val="single" w:color="000000" w:sz="4"/>
              <w:bottom w:val="single" w:color="000000" w:sz="4"/>
              <w:right w:val="single" w:color="000000" w:sz="4"/>
            </w:tcBorders>
          </w:tcPr>
          <w:p>
            <w:r>
              <w:rPr>
                <w:b/>
                <w:bCs/>
                <w:color w:val="000000"/>
                <w:sz w:val="21"/>
                <w:szCs w:val="21"/>
              </w:rPr>
              <w:t xml:space="preserve">Repository</w:t>
            </w:r>
          </w:p>
        </w:tc>
        <w:tc>
          <w:tcPr>
            <w:tcW w:type="dxa" w:w="6120"/>
            <w:tcBorders>
              <w:top w:val="single" w:color="000000" w:sz="4"/>
              <w:left w:val="single" w:color="000000" w:sz="4"/>
              <w:bottom w:val="single" w:color="000000" w:sz="4"/>
              <w:right w:val="single" w:color="000000" w:sz="4"/>
            </w:tcBorders>
          </w:tcPr>
          <w:p>
            <w:r>
              <w:rPr>
                <w:color w:val="000000"/>
                <w:sz w:val="21"/>
                <w:szCs w:val="21"/>
              </w:rPr>
              <w:t xml:space="preserve">DIP_2026_19_3, </w:t>
            </w:r>
            <w:hyperlink w:history="1" r:id="rIdqcsim2xtkqwrm5haykdan">
              <w:r>
                <w:rPr>
                  <w:color w:val="000000"/>
                  <w:sz w:val="21"/>
                  <w:szCs w:val="21"/>
                  <w:u w:val="single"/>
                </w:rPr>
                <w:t xml:space="preserve">github.com/Het1236/DIP_2026_19_3</w:t>
              </w:r>
            </w:hyperlink>
          </w:p>
        </w:tc>
      </w:tr>
      <w:tr>
        <w:tc>
          <w:tcPr>
            <w:tcW w:type="dxa" w:w="3060"/>
            <w:tcBorders>
              <w:top w:val="single" w:color="000000" w:sz="4"/>
              <w:left w:val="single" w:color="000000" w:sz="4"/>
              <w:bottom w:val="single" w:color="000000" w:sz="4"/>
              <w:right w:val="single" w:color="000000" w:sz="4"/>
            </w:tcBorders>
          </w:tcPr>
          <w:p>
            <w:r>
              <w:rPr>
                <w:b/>
                <w:bCs/>
                <w:color w:val="000000"/>
                <w:sz w:val="21"/>
                <w:szCs w:val="21"/>
              </w:rPr>
              <w:t xml:space="preserve">Report No. / Date</w:t>
            </w:r>
          </w:p>
        </w:tc>
        <w:tc>
          <w:tcPr>
            <w:tcW w:type="dxa" w:w="6120"/>
            <w:tcBorders>
              <w:top w:val="single" w:color="000000" w:sz="4"/>
              <w:left w:val="single" w:color="000000" w:sz="4"/>
              <w:bottom w:val="single" w:color="000000" w:sz="4"/>
              <w:right w:val="single" w:color="000000" w:sz="4"/>
            </w:tcBorders>
          </w:tcPr>
          <w:p>
            <w:r>
              <w:rPr>
                <w:b w:val="false"/>
                <w:bCs w:val="false"/>
                <w:color w:val="000000"/>
                <w:sz w:val="21"/>
                <w:szCs w:val="21"/>
              </w:rPr>
              <w:t xml:space="preserve">Week 1, 12 September 2026</w:t>
            </w:r>
          </w:p>
        </w:tc>
      </w:tr>
      <w:tr>
        <w:tc>
          <w:tcPr>
            <w:tcW w:type="dxa" w:w="3060"/>
            <w:tcBorders>
              <w:top w:val="single" w:color="000000" w:sz="4"/>
              <w:left w:val="single" w:color="000000" w:sz="4"/>
              <w:bottom w:val="single" w:color="000000" w:sz="4"/>
              <w:right w:val="single" w:color="000000" w:sz="4"/>
            </w:tcBorders>
          </w:tcPr>
          <w:p>
            <w:r>
              <w:rPr>
                <w:b/>
                <w:bCs/>
                <w:color w:val="000000"/>
                <w:sz w:val="21"/>
                <w:szCs w:val="21"/>
              </w:rPr>
              <w:t xml:space="preserve">Assigned Dataset</w:t>
            </w:r>
          </w:p>
        </w:tc>
        <w:tc>
          <w:tcPr>
            <w:tcW w:type="dxa" w:w="6120"/>
            <w:tcBorders>
              <w:top w:val="single" w:color="000000" w:sz="4"/>
              <w:left w:val="single" w:color="000000" w:sz="4"/>
              <w:bottom w:val="single" w:color="000000" w:sz="4"/>
              <w:right w:val="single" w:color="000000" w:sz="4"/>
            </w:tcBorders>
          </w:tcPr>
          <w:p>
            <w:r>
              <w:rPr>
                <w:b w:val="false"/>
                <w:bCs w:val="false"/>
                <w:color w:val="000000"/>
                <w:sz w:val="21"/>
                <w:szCs w:val="21"/>
              </w:rPr>
              <w:t xml:space="preserve">YieldSAT, Group B (Argentina and Brazil)</w:t>
            </w:r>
          </w:p>
        </w:tc>
      </w:tr>
    </w:tbl>
    <w:p>
      <w:pPr>
        <w:spacing w:after="100" w:before="220"/>
      </w:pPr>
      <w:r>
        <w:rPr>
          <w:b/>
          <w:bCs/>
          <w:color w:val="000000"/>
          <w:sz w:val="23"/>
          <w:szCs w:val="23"/>
        </w:rPr>
        <w:t xml:space="preserve">Team</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600"/>
        <w:gridCol w:w="2400"/>
        <w:gridCol w:w="4080"/>
      </w:tblGrid>
      <w:tr>
        <w:tc>
          <w:tcPr>
            <w:tcW w:type="dxa" w:w="3600"/>
            <w:tcBorders>
              <w:top w:val="single" w:color="000000" w:sz="4"/>
              <w:left w:val="single" w:color="000000" w:sz="4"/>
              <w:bottom w:val="single" w:color="000000" w:sz="4"/>
              <w:right w:val="single" w:color="000000" w:sz="4"/>
            </w:tcBorders>
          </w:tcPr>
          <w:p>
            <w:r>
              <w:rPr>
                <w:b/>
                <w:bCs/>
                <w:color w:val="000000"/>
                <w:sz w:val="21"/>
                <w:szCs w:val="21"/>
              </w:rPr>
              <w:t xml:space="preserve">Name</w:t>
            </w:r>
          </w:p>
        </w:tc>
        <w:tc>
          <w:tcPr>
            <w:tcW w:type="dxa" w:w="2400"/>
            <w:tcBorders>
              <w:top w:val="single" w:color="000000" w:sz="4"/>
              <w:left w:val="single" w:color="000000" w:sz="4"/>
              <w:bottom w:val="single" w:color="000000" w:sz="4"/>
              <w:right w:val="single" w:color="000000" w:sz="4"/>
            </w:tcBorders>
          </w:tcPr>
          <w:p>
            <w:r>
              <w:rPr>
                <w:b/>
                <w:bCs/>
                <w:color w:val="000000"/>
                <w:sz w:val="21"/>
                <w:szCs w:val="21"/>
              </w:rPr>
              <w:t xml:space="preserve">Enrolment No.</w:t>
            </w:r>
          </w:p>
        </w:tc>
        <w:tc>
          <w:tcPr>
            <w:tcW w:type="dxa" w:w="4080"/>
            <w:tcBorders>
              <w:top w:val="single" w:color="000000" w:sz="4"/>
              <w:left w:val="single" w:color="000000" w:sz="4"/>
              <w:bottom w:val="single" w:color="000000" w:sz="4"/>
              <w:right w:val="single" w:color="000000" w:sz="4"/>
            </w:tcBorders>
          </w:tcPr>
          <w:p>
            <w:r>
              <w:rPr>
                <w:b/>
                <w:bCs/>
                <w:color w:val="000000"/>
                <w:sz w:val="21"/>
                <w:szCs w:val="21"/>
              </w:rPr>
              <w:t xml:space="preserve">Role</w:t>
            </w:r>
          </w:p>
        </w:tc>
      </w:tr>
      <w:tr>
        <w:tc>
          <w:tcPr>
            <w:tcW w:type="dxa" w:w="3600"/>
            <w:tcBorders>
              <w:top w:val="single" w:color="000000" w:sz="4"/>
              <w:left w:val="single" w:color="000000" w:sz="4"/>
              <w:bottom w:val="single" w:color="000000" w:sz="4"/>
              <w:right w:val="single" w:color="000000" w:sz="4"/>
            </w:tcBorders>
          </w:tcPr>
          <w:p>
            <w:r>
              <w:rPr>
                <w:b w:val="false"/>
                <w:bCs w:val="false"/>
                <w:color w:val="000000"/>
                <w:sz w:val="21"/>
                <w:szCs w:val="21"/>
              </w:rPr>
              <w:t xml:space="preserve">Het Patel (Leader and POC)</w:t>
            </w:r>
          </w:p>
        </w:tc>
        <w:tc>
          <w:tcPr>
            <w:tcW w:type="dxa" w:w="2400"/>
            <w:tcBorders>
              <w:top w:val="single" w:color="000000" w:sz="4"/>
              <w:left w:val="single" w:color="000000" w:sz="4"/>
              <w:bottom w:val="single" w:color="000000" w:sz="4"/>
              <w:right w:val="single" w:color="000000" w:sz="4"/>
            </w:tcBorders>
          </w:tcPr>
          <w:p>
            <w:r>
              <w:rPr>
                <w:b w:val="false"/>
                <w:bCs w:val="false"/>
                <w:color w:val="000000"/>
                <w:sz w:val="21"/>
                <w:szCs w:val="21"/>
              </w:rPr>
              <w:t xml:space="preserve">AU2440266</w:t>
            </w:r>
          </w:p>
        </w:tc>
        <w:tc>
          <w:tcPr>
            <w:tcW w:type="dxa" w:w="4080"/>
            <w:tcBorders>
              <w:top w:val="single" w:color="000000" w:sz="4"/>
              <w:left w:val="single" w:color="000000" w:sz="4"/>
              <w:bottom w:val="single" w:color="000000" w:sz="4"/>
              <w:right w:val="single" w:color="000000" w:sz="4"/>
            </w:tcBorders>
          </w:tcPr>
          <w:p>
            <w:r>
              <w:rPr>
                <w:b w:val="false"/>
                <w:bCs w:val="false"/>
                <w:color w:val="000000"/>
                <w:sz w:val="21"/>
                <w:szCs w:val="21"/>
              </w:rPr>
              <w:t xml:space="preserve">Leader and POC</w:t>
            </w:r>
          </w:p>
        </w:tc>
      </w:tr>
      <w:tr>
        <w:tc>
          <w:tcPr>
            <w:tcW w:type="dxa" w:w="3600"/>
            <w:tcBorders>
              <w:top w:val="single" w:color="000000" w:sz="4"/>
              <w:left w:val="single" w:color="000000" w:sz="4"/>
              <w:bottom w:val="single" w:color="000000" w:sz="4"/>
              <w:right w:val="single" w:color="000000" w:sz="4"/>
            </w:tcBorders>
          </w:tcPr>
          <w:p>
            <w:r>
              <w:rPr>
                <w:b w:val="false"/>
                <w:bCs w:val="false"/>
                <w:color w:val="000000"/>
                <w:sz w:val="21"/>
                <w:szCs w:val="21"/>
              </w:rPr>
              <w:t xml:space="preserve">Dhairya Shah</w:t>
            </w:r>
          </w:p>
        </w:tc>
        <w:tc>
          <w:tcPr>
            <w:tcW w:type="dxa" w:w="2400"/>
            <w:tcBorders>
              <w:top w:val="single" w:color="000000" w:sz="4"/>
              <w:left w:val="single" w:color="000000" w:sz="4"/>
              <w:bottom w:val="single" w:color="000000" w:sz="4"/>
              <w:right w:val="single" w:color="000000" w:sz="4"/>
            </w:tcBorders>
          </w:tcPr>
          <w:p>
            <w:r>
              <w:rPr>
                <w:b w:val="false"/>
                <w:bCs w:val="false"/>
                <w:color w:val="000000"/>
                <w:sz w:val="21"/>
                <w:szCs w:val="21"/>
              </w:rPr>
              <w:t xml:space="preserve">AU2440128</w:t>
            </w:r>
          </w:p>
        </w:tc>
        <w:tc>
          <w:tcPr>
            <w:tcW w:type="dxa" w:w="4080"/>
            <w:tcBorders>
              <w:top w:val="single" w:color="000000" w:sz="4"/>
              <w:left w:val="single" w:color="000000" w:sz="4"/>
              <w:bottom w:val="single" w:color="000000" w:sz="4"/>
              <w:right w:val="single" w:color="000000" w:sz="4"/>
            </w:tcBorders>
          </w:tcPr>
          <w:p>
            <w:r>
              <w:rPr>
                <w:b w:val="false"/>
                <w:bCs w:val="false"/>
                <w:color w:val="000000"/>
                <w:sz w:val="21"/>
                <w:szCs w:val="21"/>
              </w:rPr>
              <w:t xml:space="preserve">Member</w:t>
            </w:r>
          </w:p>
        </w:tc>
      </w:tr>
      <w:tr>
        <w:tc>
          <w:tcPr>
            <w:tcW w:type="dxa" w:w="3600"/>
            <w:tcBorders>
              <w:top w:val="single" w:color="000000" w:sz="4"/>
              <w:left w:val="single" w:color="000000" w:sz="4"/>
              <w:bottom w:val="single" w:color="000000" w:sz="4"/>
              <w:right w:val="single" w:color="000000" w:sz="4"/>
            </w:tcBorders>
          </w:tcPr>
          <w:p>
            <w:r>
              <w:rPr>
                <w:b w:val="false"/>
                <w:bCs w:val="false"/>
                <w:color w:val="000000"/>
                <w:sz w:val="21"/>
                <w:szCs w:val="21"/>
              </w:rPr>
              <w:t xml:space="preserve">Jay Daftari</w:t>
            </w:r>
          </w:p>
        </w:tc>
        <w:tc>
          <w:tcPr>
            <w:tcW w:type="dxa" w:w="2400"/>
            <w:tcBorders>
              <w:top w:val="single" w:color="000000" w:sz="4"/>
              <w:left w:val="single" w:color="000000" w:sz="4"/>
              <w:bottom w:val="single" w:color="000000" w:sz="4"/>
              <w:right w:val="single" w:color="000000" w:sz="4"/>
            </w:tcBorders>
          </w:tcPr>
          <w:p>
            <w:r>
              <w:rPr>
                <w:b w:val="false"/>
                <w:bCs w:val="false"/>
                <w:color w:val="000000"/>
                <w:sz w:val="21"/>
                <w:szCs w:val="21"/>
              </w:rPr>
              <w:t xml:space="preserve">AU2440271</w:t>
            </w:r>
          </w:p>
        </w:tc>
        <w:tc>
          <w:tcPr>
            <w:tcW w:type="dxa" w:w="4080"/>
            <w:tcBorders>
              <w:top w:val="single" w:color="000000" w:sz="4"/>
              <w:left w:val="single" w:color="000000" w:sz="4"/>
              <w:bottom w:val="single" w:color="000000" w:sz="4"/>
              <w:right w:val="single" w:color="000000" w:sz="4"/>
            </w:tcBorders>
          </w:tcPr>
          <w:p>
            <w:r>
              <w:rPr>
                <w:b w:val="false"/>
                <w:bCs w:val="false"/>
                <w:color w:val="000000"/>
                <w:sz w:val="21"/>
                <w:szCs w:val="21"/>
              </w:rPr>
              <w:t xml:space="preserve">Member</w:t>
            </w:r>
          </w:p>
        </w:tc>
      </w:tr>
      <w:tr>
        <w:tc>
          <w:tcPr>
            <w:tcW w:type="dxa" w:w="3600"/>
            <w:tcBorders>
              <w:top w:val="single" w:color="000000" w:sz="4"/>
              <w:left w:val="single" w:color="000000" w:sz="4"/>
              <w:bottom w:val="single" w:color="000000" w:sz="4"/>
              <w:right w:val="single" w:color="000000" w:sz="4"/>
            </w:tcBorders>
          </w:tcPr>
          <w:p>
            <w:r>
              <w:rPr>
                <w:b w:val="false"/>
                <w:bCs w:val="false"/>
                <w:color w:val="000000"/>
                <w:sz w:val="21"/>
                <w:szCs w:val="21"/>
              </w:rPr>
              <w:t xml:space="preserve">Hiya Soni</w:t>
            </w:r>
          </w:p>
        </w:tc>
        <w:tc>
          <w:tcPr>
            <w:tcW w:type="dxa" w:w="2400"/>
            <w:tcBorders>
              <w:top w:val="single" w:color="000000" w:sz="4"/>
              <w:left w:val="single" w:color="000000" w:sz="4"/>
              <w:bottom w:val="single" w:color="000000" w:sz="4"/>
              <w:right w:val="single" w:color="000000" w:sz="4"/>
            </w:tcBorders>
          </w:tcPr>
          <w:p>
            <w:r>
              <w:rPr>
                <w:b w:val="false"/>
                <w:bCs w:val="false"/>
                <w:color w:val="000000"/>
                <w:sz w:val="21"/>
                <w:szCs w:val="21"/>
              </w:rPr>
              <w:t xml:space="preserve">AU2440084</w:t>
            </w:r>
          </w:p>
        </w:tc>
        <w:tc>
          <w:tcPr>
            <w:tcW w:type="dxa" w:w="4080"/>
            <w:tcBorders>
              <w:top w:val="single" w:color="000000" w:sz="4"/>
              <w:left w:val="single" w:color="000000" w:sz="4"/>
              <w:bottom w:val="single" w:color="000000" w:sz="4"/>
              <w:right w:val="single" w:color="000000" w:sz="4"/>
            </w:tcBorders>
          </w:tcPr>
          <w:p>
            <w:r>
              <w:rPr>
                <w:b w:val="false"/>
                <w:bCs w:val="false"/>
                <w:color w:val="000000"/>
                <w:sz w:val="21"/>
                <w:szCs w:val="21"/>
              </w:rPr>
              <w:t xml:space="preserve">Member</w:t>
            </w:r>
          </w:p>
        </w:tc>
      </w:tr>
    </w:tbl>
    <w:p>
      <w:pPr>
        <w:pStyle w:val="Heading1"/>
        <w:spacing w:after="120" w:before="240"/>
      </w:pPr>
      <w:r>
        <w:rPr>
          <w:b/>
          <w:bCs/>
          <w:color w:val="000000"/>
          <w:sz w:val="26"/>
          <w:szCs w:val="26"/>
        </w:rPr>
        <w:t xml:space="preserve">Work Done This Week</w:t>
      </w:r>
    </w:p>
    <w:p>
      <w:pPr>
        <w:pStyle w:val="ListParagraph"/>
        <w:numPr>
          <w:ilvl w:val="0"/>
          <w:numId w:val="2"/>
        </w:numPr>
        <w:spacing w:after="80"/>
      </w:pPr>
      <w:r>
        <w:rPr>
          <w:color w:val="000000"/>
          <w:sz w:val="22"/>
          <w:szCs w:val="22"/>
        </w:rPr>
        <w:t xml:space="preserve">We read the ECE501 project guidelines.</w:t>
      </w:r>
    </w:p>
    <w:p>
      <w:pPr>
        <w:pStyle w:val="ListParagraph"/>
        <w:numPr>
          <w:ilvl w:val="0"/>
          <w:numId w:val="2"/>
        </w:numPr>
        <w:spacing w:after="80"/>
      </w:pPr>
      <w:r>
        <w:rPr>
          <w:color w:val="000000"/>
          <w:sz w:val="22"/>
          <w:szCs w:val="22"/>
        </w:rPr>
        <w:t xml:space="preserve">We read all the project options given to us.</w:t>
      </w:r>
    </w:p>
    <w:p>
      <w:pPr>
        <w:pStyle w:val="ListParagraph"/>
        <w:numPr>
          <w:ilvl w:val="0"/>
          <w:numId w:val="2"/>
        </w:numPr>
        <w:spacing w:after="80"/>
      </w:pPr>
      <w:r>
        <w:rPr>
          <w:color w:val="000000"/>
          <w:sz w:val="22"/>
          <w:szCs w:val="22"/>
        </w:rPr>
        <w:t xml:space="preserve">We chose Project 19. This project is about SAR and optical feature fusion.</w:t>
      </w:r>
    </w:p>
    <w:p>
      <w:pPr>
        <w:pStyle w:val="ListParagraph"/>
        <w:numPr>
          <w:ilvl w:val="0"/>
          <w:numId w:val="2"/>
        </w:numPr>
        <w:spacing w:after="80"/>
      </w:pPr>
      <w:r>
        <w:rPr>
          <w:color w:val="000000"/>
          <w:sz w:val="22"/>
          <w:szCs w:val="22"/>
        </w:rPr>
        <w:t xml:space="preserve">We made the GitHub repository DIP_2026_19_3.</w:t>
      </w:r>
    </w:p>
    <w:p>
      <w:pPr>
        <w:pStyle w:val="ListParagraph"/>
        <w:numPr>
          <w:ilvl w:val="0"/>
          <w:numId w:val="2"/>
        </w:numPr>
        <w:spacing w:after="80"/>
      </w:pPr>
      <w:r>
        <w:rPr>
          <w:color w:val="000000"/>
          <w:sz w:val="22"/>
          <w:szCs w:val="22"/>
        </w:rPr>
        <w:t xml:space="preserve">We added the folders Mid_Sem_Report, End_Sem_Report, Results and Codes.</w:t>
      </w:r>
    </w:p>
    <w:p>
      <w:pPr>
        <w:pStyle w:val="ListParagraph"/>
        <w:numPr>
          <w:ilvl w:val="0"/>
          <w:numId w:val="2"/>
        </w:numPr>
        <w:spacing w:after="80"/>
      </w:pPr>
      <w:r>
        <w:rPr>
          <w:color w:val="000000"/>
          <w:sz w:val="22"/>
          <w:szCs w:val="22"/>
        </w:rPr>
        <w:t xml:space="preserve">We wrote a README file with our problem statement.</w:t>
      </w:r>
    </w:p>
    <w:p>
      <w:pPr>
        <w:pStyle w:val="ListParagraph"/>
        <w:numPr>
          <w:ilvl w:val="0"/>
          <w:numId w:val="2"/>
        </w:numPr>
        <w:spacing w:after="80"/>
      </w:pPr>
      <w:r>
        <w:rPr>
          <w:color w:val="000000"/>
          <w:sz w:val="22"/>
          <w:szCs w:val="22"/>
        </w:rPr>
        <w:t xml:space="preserve">We read the YieldSAT paper and the YieldSAT website.</w:t>
      </w:r>
    </w:p>
    <w:p>
      <w:pPr>
        <w:pStyle w:val="ListParagraph"/>
        <w:numPr>
          <w:ilvl w:val="0"/>
          <w:numId w:val="2"/>
        </w:numPr>
        <w:spacing w:after="80"/>
      </w:pPr>
      <w:r>
        <w:rPr>
          <w:color w:val="000000"/>
          <w:sz w:val="22"/>
          <w:szCs w:val="22"/>
        </w:rPr>
        <w:t xml:space="preserve">We filled the form to request the YieldSAT dataset.</w:t>
      </w:r>
    </w:p>
    <w:p>
      <w:pPr>
        <w:pStyle w:val="Heading1"/>
        <w:spacing w:after="120" w:before="240"/>
      </w:pPr>
      <w:r>
        <w:rPr>
          <w:b/>
          <w:bCs/>
          <w:color w:val="000000"/>
          <w:sz w:val="26"/>
          <w:szCs w:val="26"/>
        </w:rPr>
        <w:t xml:space="preserve">Literature Review</w:t>
      </w:r>
    </w:p>
    <w:p>
      <w:pPr>
        <w:spacing w:after="120"/>
      </w:pPr>
      <w:r>
        <w:rPr>
          <w:color w:val="000000"/>
          <w:sz w:val="22"/>
          <w:szCs w:val="22"/>
        </w:rPr>
        <w:t xml:space="preserve">We read the YieldSAT paper. Its arXiv number is 2604.00940v1. We read section 4 of the paper. This section explains how the dataset was built.</w:t>
      </w:r>
    </w:p>
    <w:p>
      <w:pPr>
        <w:spacing w:after="120"/>
      </w:pPr>
      <w:r>
        <w:rPr>
          <w:color w:val="000000"/>
          <w:sz w:val="22"/>
          <w:szCs w:val="22"/>
        </w:rPr>
        <w:t xml:space="preserve">The paper introduces a new dataset called YieldSAT. This dataset has yield data collected from harvesters. It also has Sentinel-2 optical images. It has weather data, soil data and land height data. The dataset covers four countries. These are Argentina, Brazil, Uruguay and Germany. It covers four crops. These are corn, rapeseed, soybeans and wheat. The data spans 2016 to 2024. It has about 12.2 million labeled points at 10 meter resolution, from over 113,000 Sentinel-2 images.</w:t>
      </w:r>
    </w:p>
    <w:p>
      <w:pPr>
        <w:spacing w:after="120"/>
      </w:pPr>
      <w:r>
        <w:rPr>
          <w:color w:val="000000"/>
          <w:sz w:val="22"/>
          <w:szCs w:val="22"/>
        </w:rPr>
        <w:t xml:space="preserve">We also read the YieldSAT project website. It gave us the steps to request the data. We noticed that YieldSAT does not include SAR data. So we still need Sentinel-1 SAR data on our own. We plan to get this from Google Earth Engine for the same fields.</w:t>
      </w:r>
    </w:p>
    <w:p>
      <w:pPr>
        <w:pStyle w:val="Heading1"/>
        <w:spacing w:after="120" w:before="240"/>
      </w:pPr>
      <w:r>
        <w:rPr>
          <w:b/>
          <w:bCs/>
          <w:color w:val="000000"/>
          <w:sz w:val="26"/>
          <w:szCs w:val="26"/>
        </w:rPr>
        <w:t xml:space="preserve">Work To Be Done Next Week</w:t>
      </w:r>
    </w:p>
    <w:p>
      <w:pPr>
        <w:pStyle w:val="ListParagraph"/>
        <w:numPr>
          <w:ilvl w:val="0"/>
          <w:numId w:val="2"/>
        </w:numPr>
        <w:spacing w:after="80"/>
      </w:pPr>
      <w:r>
        <w:rPr>
          <w:color w:val="000000"/>
          <w:sz w:val="22"/>
          <w:szCs w:val="22"/>
        </w:rPr>
        <w:t xml:space="preserve">Check if our YieldSAT access request is approved.</w:t>
      </w:r>
    </w:p>
    <w:p>
      <w:pPr>
        <w:pStyle w:val="ListParagraph"/>
        <w:numPr>
          <w:ilvl w:val="0"/>
          <w:numId w:val="2"/>
        </w:numPr>
        <w:spacing w:after="80"/>
      </w:pPr>
      <w:r>
        <w:rPr>
          <w:color w:val="000000"/>
          <w:sz w:val="22"/>
          <w:szCs w:val="22"/>
        </w:rPr>
        <w:t xml:space="preserve">Download the Sentinel-2 and yield data for Argentina and Brazil once approved.</w:t>
      </w:r>
    </w:p>
    <w:p>
      <w:pPr>
        <w:pStyle w:val="ListParagraph"/>
        <w:numPr>
          <w:ilvl w:val="0"/>
          <w:numId w:val="2"/>
        </w:numPr>
        <w:spacing w:after="80"/>
      </w:pPr>
      <w:r>
        <w:rPr>
          <w:color w:val="000000"/>
          <w:sz w:val="22"/>
          <w:szCs w:val="22"/>
        </w:rPr>
        <w:t xml:space="preserve">Set up Google Earth Engine access for the team.</w:t>
      </w:r>
    </w:p>
    <w:p>
      <w:pPr>
        <w:pStyle w:val="ListParagraph"/>
        <w:numPr>
          <w:ilvl w:val="0"/>
          <w:numId w:val="2"/>
        </w:numPr>
        <w:spacing w:after="80"/>
      </w:pPr>
      <w:r>
        <w:rPr>
          <w:color w:val="000000"/>
          <w:sz w:val="22"/>
          <w:szCs w:val="22"/>
        </w:rPr>
        <w:t xml:space="preserve">Start pulling Sentinel-1 VV and VH data for the same fields.</w:t>
      </w:r>
    </w:p>
    <w:p>
      <w:pPr>
        <w:pStyle w:val="ListParagraph"/>
        <w:numPr>
          <w:ilvl w:val="0"/>
          <w:numId w:val="2"/>
        </w:numPr>
        <w:spacing w:after="80"/>
      </w:pPr>
      <w:r>
        <w:rPr>
          <w:color w:val="000000"/>
          <w:sz w:val="22"/>
          <w:szCs w:val="22"/>
        </w:rPr>
        <w:t xml:space="preserve">List the features we plan to extract from each type of data.</w:t>
      </w:r>
    </w:p>
    <w:p>
      <w:pPr>
        <w:pStyle w:val="Heading1"/>
        <w:spacing w:after="120" w:before="240"/>
      </w:pPr>
      <w:r>
        <w:rPr>
          <w:b/>
          <w:bCs/>
          <w:color w:val="000000"/>
          <w:sz w:val="26"/>
          <w:szCs w:val="26"/>
        </w:rPr>
        <w:t xml:space="preserve">Challenges Faced</w:t>
      </w:r>
    </w:p>
    <w:p>
      <w:pPr>
        <w:pStyle w:val="ListParagraph"/>
        <w:numPr>
          <w:ilvl w:val="0"/>
          <w:numId w:val="2"/>
        </w:numPr>
        <w:spacing w:after="80"/>
      </w:pPr>
      <w:r>
        <w:rPr>
          <w:color w:val="000000"/>
          <w:sz w:val="22"/>
          <w:szCs w:val="22"/>
        </w:rPr>
        <w:t xml:space="preserve">Getting dataset access takes time. We are waiting for approval.</w:t>
      </w:r>
    </w:p>
    <w:p>
      <w:pPr>
        <w:pStyle w:val="ListParagraph"/>
        <w:numPr>
          <w:ilvl w:val="0"/>
          <w:numId w:val="2"/>
        </w:numPr>
        <w:spacing w:after="80"/>
      </w:pPr>
      <w:r>
        <w:rPr>
          <w:color w:val="000000"/>
          <w:sz w:val="22"/>
          <w:szCs w:val="22"/>
        </w:rPr>
        <w:t xml:space="preserve">YieldSAT does not include SAR data. We need to match Sentinel-1 data to the same fields and dates ourselves.</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00000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qcsim2xtkqwrm5haykdan" Type="http://schemas.openxmlformats.org/officeDocument/2006/relationships/hyperlink" Target="https://github.com/Het1236/DIP_2026_19_3" TargetMode="Externa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2026-09-17T15:49:12.719Z</dcterms:created>
  <dcterms:modified xsi:type="dcterms:W3CDTF">2026-09-17T15:49:12.735Z</dcterms:modified>
</cp:coreProperties>
</file>

<file path=docProps/custom.xml><?xml version="1.0" encoding="utf-8"?>
<Properties xmlns="http://schemas.openxmlformats.org/officeDocument/2006/custom-properties" xmlns:vt="http://schemas.openxmlformats.org/officeDocument/2006/docPropsVTypes"/>
</file>