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2"/>
          <w:szCs w:val="22"/>
        </w:rPr>
        <w:t xml:space="preserve">ECE 501: Digital Image Processing</w:t>
      </w:r>
    </w:p>
    <w:p>
      <w:pPr>
        <w:spacing w:after="40"/>
        <w:jc w:val="center"/>
      </w:pPr>
      <w:r>
        <w:rPr>
          <w:b/>
          <w:bCs/>
          <w:color w:val="000000"/>
          <w:sz w:val="30"/>
          <w:szCs w:val="30"/>
        </w:rPr>
        <w:t xml:space="preserve">Weekly Progress Report</w:t>
      </w:r>
    </w:p>
    <w:p>
      <w:pPr>
        <w:spacing w:after="200"/>
        <w:jc w:val="center"/>
      </w:pPr>
      <w:r>
        <w:rPr>
          <w:b/>
          <w:bCs/>
          <w:color w:val="000000"/>
          <w:sz w:val="24"/>
          <w:szCs w:val="24"/>
        </w:rPr>
        <w:t xml:space="preserve">Project 19: SAR and Optical Feature Fusion for Crop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000000" w:sz="4"/>
              <w:left w:val="single" w:color="000000" w:sz="4"/>
              <w:bottom w:val="single" w:color="000000" w:sz="4"/>
              <w:right w:val="single" w:color="000000" w:sz="4"/>
            </w:tcBorders>
          </w:tcPr>
          <w:p>
            <w:r>
              <w:rPr>
                <w:b/>
                <w:bCs/>
                <w:color w:val="000000"/>
                <w:sz w:val="21"/>
                <w:szCs w:val="21"/>
              </w:rPr>
              <w:t xml:space="preserve">Repository</w:t>
            </w:r>
          </w:p>
        </w:tc>
        <w:tc>
          <w:tcPr>
            <w:tcW w:type="dxa" w:w="6120"/>
            <w:tcBorders>
              <w:top w:val="single" w:color="000000" w:sz="4"/>
              <w:left w:val="single" w:color="000000" w:sz="4"/>
              <w:bottom w:val="single" w:color="000000" w:sz="4"/>
              <w:right w:val="single" w:color="000000" w:sz="4"/>
            </w:tcBorders>
          </w:tcPr>
          <w:p>
            <w:r>
              <w:rPr>
                <w:color w:val="000000"/>
                <w:sz w:val="21"/>
                <w:szCs w:val="21"/>
              </w:rPr>
              <w:t xml:space="preserve">DIP_2026_19_3, </w:t>
            </w:r>
            <w:hyperlink w:history="1" r:id="rIddt4x_nftrop64hcc3qorp">
              <w:r>
                <w:rPr>
                  <w:color w:val="000000"/>
                  <w:sz w:val="21"/>
                  <w:szCs w:val="21"/>
                  <w:u w:val="single"/>
                </w:rPr>
                <w:t xml:space="preserve">github.com/Het1236/DIP_2026_19_3</w:t>
              </w:r>
            </w:hyperlink>
          </w:p>
        </w:tc>
      </w:tr>
      <w:tr>
        <w:tc>
          <w:tcPr>
            <w:tcW w:type="dxa" w:w="3060"/>
            <w:tcBorders>
              <w:top w:val="single" w:color="000000" w:sz="4"/>
              <w:left w:val="single" w:color="000000" w:sz="4"/>
              <w:bottom w:val="single" w:color="000000" w:sz="4"/>
              <w:right w:val="single" w:color="000000" w:sz="4"/>
            </w:tcBorders>
          </w:tcPr>
          <w:p>
            <w:r>
              <w:rPr>
                <w:b/>
                <w:bCs/>
                <w:color w:val="000000"/>
                <w:sz w:val="21"/>
                <w:szCs w:val="21"/>
              </w:rPr>
              <w:t xml:space="preserve">Report No. / Date</w:t>
            </w:r>
          </w:p>
        </w:tc>
        <w:tc>
          <w:tcPr>
            <w:tcW w:type="dxa" w:w="6120"/>
            <w:tcBorders>
              <w:top w:val="single" w:color="000000" w:sz="4"/>
              <w:left w:val="single" w:color="000000" w:sz="4"/>
              <w:bottom w:val="single" w:color="000000" w:sz="4"/>
              <w:right w:val="single" w:color="000000" w:sz="4"/>
            </w:tcBorders>
          </w:tcPr>
          <w:p>
            <w:r>
              <w:rPr>
                <w:b w:val="false"/>
                <w:bCs w:val="false"/>
                <w:color w:val="000000"/>
                <w:sz w:val="21"/>
                <w:szCs w:val="21"/>
              </w:rPr>
              <w:t>Week 7, 24 October 2026</w:t>
            </w:r>
          </w:p>
        </w:tc>
      </w:tr>
      <w:tr>
        <w:tc>
          <w:tcPr>
            <w:tcW w:type="dxa" w:w="3060"/>
            <w:tcBorders>
              <w:top w:val="single" w:color="000000" w:sz="4"/>
              <w:left w:val="single" w:color="000000" w:sz="4"/>
              <w:bottom w:val="single" w:color="000000" w:sz="4"/>
              <w:right w:val="single" w:color="000000" w:sz="4"/>
            </w:tcBorders>
          </w:tcPr>
          <w:p>
            <w:r>
              <w:rPr>
                <w:b/>
                <w:bCs/>
                <w:color w:val="000000"/>
                <w:sz w:val="21"/>
                <w:szCs w:val="21"/>
              </w:rPr>
              <w:t xml:space="preserve">Assigned Dataset</w:t>
            </w:r>
          </w:p>
        </w:tc>
        <w:tc>
          <w:tcPr>
            <w:tcW w:type="dxa" w:w="6120"/>
            <w:tcBorders>
              <w:top w:val="single" w:color="000000" w:sz="4"/>
              <w:left w:val="single" w:color="000000" w:sz="4"/>
              <w:bottom w:val="single" w:color="000000" w:sz="4"/>
              <w:right w:val="single" w:color="000000" w:sz="4"/>
            </w:tcBorders>
          </w:tcPr>
          <w:p>
            <w:r>
              <w:rPr>
                <w:b w:val="false"/>
                <w:bCs w:val="false"/>
                <w:color w:val="000000"/>
                <w:sz w:val="21"/>
                <w:szCs w:val="21"/>
              </w:rPr>
              <w:t xml:space="preserve">YieldSAT, Group B (Argentina and Brazil)</w:t>
            </w:r>
          </w:p>
        </w:tc>
      </w:tr>
    </w:tbl>
    <w:p>
      <w:pPr>
        <w:spacing w:after="100" w:before="220"/>
      </w:pPr>
      <w:r>
        <w:rPr>
          <w:b/>
          <w:bCs/>
          <w:color w:val="000000"/>
          <w:sz w:val="23"/>
          <w:szCs w:val="23"/>
        </w:rPr>
        <w:t xml:space="preserve">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4080"/>
      </w:tblGrid>
      <w:tr>
        <w:tc>
          <w:tcPr>
            <w:tcW w:type="dxa" w:w="3600"/>
            <w:tcBorders>
              <w:top w:val="single" w:color="000000" w:sz="4"/>
              <w:left w:val="single" w:color="000000" w:sz="4"/>
              <w:bottom w:val="single" w:color="000000" w:sz="4"/>
              <w:right w:val="single" w:color="000000" w:sz="4"/>
            </w:tcBorders>
          </w:tcPr>
          <w:p>
            <w:r>
              <w:rPr>
                <w:b/>
                <w:bCs/>
                <w:color w:val="000000"/>
                <w:sz w:val="21"/>
                <w:szCs w:val="21"/>
              </w:rPr>
              <w:t xml:space="preserve">Name</w:t>
            </w:r>
          </w:p>
        </w:tc>
        <w:tc>
          <w:tcPr>
            <w:tcW w:type="dxa" w:w="2400"/>
            <w:tcBorders>
              <w:top w:val="single" w:color="000000" w:sz="4"/>
              <w:left w:val="single" w:color="000000" w:sz="4"/>
              <w:bottom w:val="single" w:color="000000" w:sz="4"/>
              <w:right w:val="single" w:color="000000" w:sz="4"/>
            </w:tcBorders>
          </w:tcPr>
          <w:p>
            <w:r>
              <w:rPr>
                <w:b/>
                <w:bCs/>
                <w:color w:val="000000"/>
                <w:sz w:val="21"/>
                <w:szCs w:val="21"/>
              </w:rPr>
              <w:t xml:space="preserve">Enrolment No.</w:t>
            </w:r>
          </w:p>
        </w:tc>
        <w:tc>
          <w:tcPr>
            <w:tcW w:type="dxa" w:w="4080"/>
            <w:tcBorders>
              <w:top w:val="single" w:color="000000" w:sz="4"/>
              <w:left w:val="single" w:color="000000" w:sz="4"/>
              <w:bottom w:val="single" w:color="000000" w:sz="4"/>
              <w:right w:val="single" w:color="000000" w:sz="4"/>
            </w:tcBorders>
          </w:tcPr>
          <w:p>
            <w:r>
              <w:rPr>
                <w:b/>
                <w:bCs/>
                <w:color w:val="000000"/>
                <w:sz w:val="21"/>
                <w:szCs w:val="21"/>
              </w:rPr>
              <w:t xml:space="preserve">Role</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Het Patel (Leader and POC)</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AU2440266</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Leader and POC</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Dhairya Shah</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AU2440128</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Member</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Jay Daftari</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AU2440271</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Member</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Hiya Soni</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AU2440084</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Member</w:t>
            </w:r>
          </w:p>
        </w:tc>
      </w:tr>
    </w:tbl>
    <w:p>
      <w:pPr>
        <w:pStyle w:val="Heading1"/>
        <w:spacing w:after="120" w:before="240"/>
      </w:pPr>
      <w:r>
        <w:rPr>
          <w:b/>
          <w:bCs/>
          <w:color w:val="000000"/>
          <w:sz w:val="26"/>
          <w:szCs w:val="26"/>
        </w:rPr>
        <w:t xml:space="preserve">Work Done This Week</w:t>
      </w:r>
    </w:p>
    <w:p>
      <w:pPr>
        <w:pStyle w:val="ListParagraph"/>
        <w:numPr>
          <w:ilvl w:val="0"/>
          <w:numId w:val="2"/>
        </w:numPr>
        <w:spacing w:after="80"/>
      </w:pPr>
      <w:r>
        <w:rPr>
          <w:color w:val="000000"/>
          <w:sz w:val="22"/>
          <w:szCs w:val="22"/>
        </w:rPr>
        <w:t>We joined the optical and SAR features into one fused feature set. It has 12 optical and 13 SAR features. This gives 25 features.</w:t>
      </w:r>
    </w:p>
    <w:p>
      <w:pPr>
        <w:pStyle w:val="ListParagraph"/>
        <w:numPr>
          <w:ilvl w:val="0"/>
          <w:numId w:val="2"/>
        </w:numPr>
        <w:spacing w:after="80"/>
      </w:pPr>
      <w:r>
        <w:rPr>
          <w:color w:val="000000"/>
          <w:sz w:val="22"/>
          <w:szCs w:val="22"/>
        </w:rPr>
        <w:t>We removed repeated features. We dropped one feature from each pair with a correlation above 0.95. This left 21 features.</w:t>
      </w:r>
    </w:p>
    <w:p>
      <w:pPr>
        <w:pStyle w:val="ListParagraph"/>
        <w:numPr>
          <w:ilvl w:val="0"/>
          <w:numId w:val="2"/>
        </w:numPr>
        <w:spacing w:after="80"/>
      </w:pPr>
      <w:r>
        <w:rPr>
          <w:color w:val="000000"/>
          <w:sz w:val="22"/>
          <w:szCs w:val="22"/>
        </w:rPr>
        <w:t>The dropped features are mean GNDVI, mean NDWI, mean VH and the NDVI texture energy.</w:t>
      </w:r>
    </w:p>
    <w:p>
      <w:pPr>
        <w:pStyle w:val="ListParagraph"/>
        <w:numPr>
          <w:ilvl w:val="0"/>
          <w:numId w:val="2"/>
        </w:numPr>
        <w:spacing w:after="80"/>
      </w:pPr>
      <w:r>
        <w:rPr>
          <w:color w:val="000000"/>
          <w:sz w:val="22"/>
          <w:szCs w:val="22"/>
        </w:rPr>
        <w:t>We checked the correlation on the training data only. This way the test data does not influence the choice of features.</w:t>
      </w:r>
    </w:p>
    <w:p>
      <w:pPr>
        <w:pStyle w:val="ListParagraph"/>
        <w:numPr>
          <w:ilvl w:val="0"/>
          <w:numId w:val="2"/>
        </w:numPr>
        <w:spacing w:after="80"/>
      </w:pPr>
      <w:r>
        <w:rPr>
          <w:color w:val="000000"/>
          <w:sz w:val="22"/>
          <w:szCs w:val="22"/>
        </w:rPr>
        <w:t>We tuned Random Forest and SVM with 5-fold cross validation on the training data. We used the same search for optical-only, SAR-only and fused features.</w:t>
      </w:r>
    </w:p>
    <w:p>
      <w:pPr>
        <w:pStyle w:val="ListParagraph"/>
        <w:numPr>
          <w:ilvl w:val="0"/>
          <w:numId w:val="2"/>
        </w:numPr>
        <w:spacing w:after="80"/>
      </w:pPr>
      <w:r>
        <w:rPr>
          <w:color w:val="000000"/>
          <w:sz w:val="22"/>
          <w:szCs w:val="22"/>
        </w:rPr>
        <w:t>We kept the same train and test split as last week. So the new results can be compared with the Week 6 results.</w:t>
      </w:r>
    </w:p>
    <w:p>
      <w:pPr>
        <w:pStyle w:val="ListParagraph"/>
        <w:numPr>
          <w:ilvl w:val="0"/>
          <w:numId w:val="2"/>
        </w:numPr>
        <w:spacing w:after="80"/>
      </w:pPr>
      <w:r>
        <w:rPr>
          <w:color w:val="000000"/>
          <w:sz w:val="22"/>
          <w:szCs w:val="22"/>
        </w:rPr>
        <w:t>The fused features gave the best results. Random Forest had an accuracy of 0.93 and a macro F1-score of 0.93. SVM had an accuracy of 0.91 and a macro F1-score of 0.91.</w:t>
      </w:r>
    </w:p>
    <w:p>
      <w:pPr>
        <w:pStyle w:val="ListParagraph"/>
        <w:numPr>
          <w:ilvl w:val="0"/>
          <w:numId w:val="2"/>
        </w:numPr>
        <w:spacing w:after="80"/>
      </w:pPr>
      <w:r>
        <w:rPr>
          <w:color w:val="000000"/>
          <w:sz w:val="22"/>
          <w:szCs w:val="22"/>
        </w:rPr>
        <w:t>The best result with one image type was lower. SAR with Random Forest had a macro F1-score of 0.79. Optical with SVM had a macro F1-score of 0.76.</w:t>
      </w:r>
    </w:p>
    <w:p>
      <w:pPr>
        <w:pStyle w:val="ListParagraph"/>
        <w:numPr>
          <w:ilvl w:val="0"/>
          <w:numId w:val="2"/>
        </w:numPr>
        <w:spacing w:after="80"/>
      </w:pPr>
      <w:r>
        <w:rPr>
          <w:color w:val="000000"/>
          <w:sz w:val="22"/>
          <w:szCs w:val="22"/>
        </w:rPr>
        <w:t>The fused Random Forest got 50 of the 54 test fields right. The best single-type model got 43 of 54 right.</w:t>
      </w:r>
    </w:p>
    <w:p>
      <w:pPr>
        <w:pStyle w:val="ListParagraph"/>
        <w:numPr>
          <w:ilvl w:val="0"/>
          <w:numId w:val="2"/>
        </w:numPr>
        <w:spacing w:after="80"/>
      </w:pPr>
      <w:r>
        <w:rPr>
          <w:color w:val="000000"/>
          <w:sz w:val="22"/>
          <w:szCs w:val="22"/>
        </w:rPr>
        <w:t>The fused model uses both types. Its top features are the mean VV, the VV minus VH difference and the mean EVI.</w:t>
      </w:r>
    </w:p>
    <w:p>
      <w:pPr>
        <w:pStyle w:val="ListParagraph"/>
        <w:numPr>
          <w:ilvl w:val="0"/>
          <w:numId w:val="2"/>
        </w:numPr>
        <w:spacing w:after="80"/>
      </w:pPr>
      <w:r>
        <w:rPr>
          <w:color w:val="000000"/>
          <w:sz w:val="22"/>
          <w:szCs w:val="22"/>
        </w:rPr>
        <w:t>We saved a results table, six confusion matrices and a bar chart for the comparison.</w:t>
      </w:r>
    </w:p>
    <w:p>
      <w:pPr>
        <w:pStyle w:val="ListParagraph"/>
        <w:numPr>
          <w:ilvl w:val="0"/>
          <w:numId w:val="2"/>
        </w:numPr>
        <w:spacing w:after="80"/>
      </w:pPr>
      <w:r>
        <w:rPr>
          <w:color w:val="000000"/>
          <w:sz w:val="22"/>
          <w:szCs w:val="22"/>
        </w:rPr>
        <w:t>We wrote a short first conclusion on whether fusion helps.</w:t>
      </w:r>
    </w:p>
    <w:p>
      <w:pPr>
        <w:pStyle w:val="ListParagraph"/>
        <w:numPr>
          <w:ilvl w:val="0"/>
          <w:numId w:val="2"/>
        </w:numPr>
        <w:spacing w:after="80"/>
      </w:pPr>
      <w:r>
        <w:rPr>
          <w:color w:val="000000"/>
          <w:sz w:val="22"/>
          <w:szCs w:val="22"/>
        </w:rPr>
        <w:t>We wrote 4 new tests for the fusion code. All tests pass.</w:t>
      </w:r>
    </w:p>
    <w:p>
      <w:pPr>
        <w:pStyle w:val="Heading1"/>
        <w:spacing w:after="120" w:before="240"/>
      </w:pPr>
      <w:r>
        <w:rPr>
          <w:b/>
          <w:bCs/>
          <w:color w:val="000000"/>
          <w:sz w:val="26"/>
          <w:szCs w:val="26"/>
        </w:rPr>
        <w:t xml:space="preserve">Literature Review</w:t>
      </w:r>
    </w:p>
    <w:p>
      <w:pPr>
        <w:spacing w:after="120"/>
      </w:pPr>
      <w:r>
        <w:rPr>
          <w:color w:val="000000"/>
          <w:sz w:val="22"/>
          <w:szCs w:val="22"/>
        </w:rPr>
        <w:t>We read about feature level fusion. This is also called early fusion. The features from both image types are joined into one vector before the model sees them. It is the simplest kind of fusion and it is easy to explain.</w:t>
      </w:r>
    </w:p>
    <w:p>
      <w:pPr>
        <w:spacing w:after="120"/>
      </w:pPr>
      <w:r>
        <w:rPr>
          <w:color w:val="000000"/>
          <w:sz w:val="22"/>
          <w:szCs w:val="22"/>
        </w:rPr>
        <w:t>We also read about cross validation. The training data is split into 5 parts. Each part is used once to check a model trained on the other 4 parts. We use this to pick the model settings without touching the test data.</w:t>
      </w:r>
    </w:p>
    <w:p>
      <w:pPr>
        <w:pStyle w:val="Heading1"/>
        <w:spacing w:after="120" w:before="240"/>
      </w:pPr>
      <w:r>
        <w:rPr>
          <w:b/>
          <w:bCs/>
          <w:color w:val="000000"/>
          <w:sz w:val="26"/>
          <w:szCs w:val="26"/>
        </w:rPr>
        <w:t xml:space="preserve">Work To Be Done Next Week</w:t>
      </w:r>
    </w:p>
    <w:p>
      <w:pPr>
        <w:pStyle w:val="ListParagraph"/>
        <w:numPr>
          <w:ilvl w:val="0"/>
          <w:numId w:val="2"/>
        </w:numPr>
        <w:spacing w:after="80"/>
      </w:pPr>
      <w:r>
        <w:rPr>
          <w:color w:val="000000"/>
          <w:sz w:val="22"/>
          <w:szCs w:val="22"/>
        </w:rPr>
        <w:t>Check the results for each crop separately.</w:t>
      </w:r>
    </w:p>
    <w:p>
      <w:pPr>
        <w:pStyle w:val="ListParagraph"/>
        <w:numPr>
          <w:ilvl w:val="0"/>
          <w:numId w:val="2"/>
        </w:numPr>
        <w:spacing w:after="80"/>
      </w:pPr>
      <w:r>
        <w:rPr>
          <w:color w:val="000000"/>
          <w:sz w:val="22"/>
          <w:szCs w:val="22"/>
        </w:rPr>
        <w:t>Check the results for Argentina and Brazil separately.</w:t>
      </w:r>
    </w:p>
    <w:p>
      <w:pPr>
        <w:pStyle w:val="ListParagraph"/>
        <w:numPr>
          <w:ilvl w:val="0"/>
          <w:numId w:val="2"/>
        </w:numPr>
        <w:spacing w:after="80"/>
      </w:pPr>
      <w:r>
        <w:rPr>
          <w:color w:val="000000"/>
          <w:sz w:val="22"/>
          <w:szCs w:val="22"/>
        </w:rPr>
        <w:t>Find which SAR and which optical features matter most in the fused model.</w:t>
      </w:r>
    </w:p>
    <w:p>
      <w:pPr>
        <w:pStyle w:val="ListParagraph"/>
        <w:numPr>
          <w:ilvl w:val="0"/>
          <w:numId w:val="2"/>
        </w:numPr>
        <w:spacing w:after="80"/>
      </w:pPr>
      <w:r>
        <w:rPr>
          <w:color w:val="000000"/>
          <w:sz w:val="22"/>
          <w:szCs w:val="22"/>
        </w:rPr>
        <w:t>Train on one country and test on the other.</w:t>
      </w:r>
    </w:p>
    <w:p>
      <w:pPr>
        <w:pStyle w:val="ListParagraph"/>
        <w:numPr>
          <w:ilvl w:val="0"/>
          <w:numId w:val="2"/>
        </w:numPr>
        <w:spacing w:after="80"/>
      </w:pPr>
      <w:r>
        <w:rPr>
          <w:color w:val="000000"/>
          <w:sz w:val="22"/>
          <w:szCs w:val="22"/>
        </w:rPr>
        <w:t>Save the figures for this analysis.</w:t>
      </w:r>
    </w:p>
    <w:p>
      <w:pPr>
        <w:pStyle w:val="Heading1"/>
        <w:spacing w:after="120" w:before="240"/>
      </w:pPr>
      <w:r>
        <w:rPr>
          <w:b/>
          <w:bCs/>
          <w:color w:val="000000"/>
          <w:sz w:val="26"/>
          <w:szCs w:val="26"/>
        </w:rPr>
        <w:t xml:space="preserve">Challenges Faced</w:t>
      </w:r>
    </w:p>
    <w:p>
      <w:pPr>
        <w:pStyle w:val="ListParagraph"/>
        <w:numPr>
          <w:ilvl w:val="0"/>
          <w:numId w:val="2"/>
        </w:numPr>
        <w:spacing w:after="80"/>
      </w:pPr>
      <w:r>
        <w:rPr>
          <w:color w:val="000000"/>
          <w:sz w:val="22"/>
          <w:szCs w:val="22"/>
        </w:rPr>
        <w:t>The test set is still small. It has 54 fields, so one field changes the accuracy by about 2 percent.</w:t>
      </w:r>
    </w:p>
    <w:p>
      <w:pPr>
        <w:pStyle w:val="ListParagraph"/>
        <w:numPr>
          <w:ilvl w:val="0"/>
          <w:numId w:val="2"/>
        </w:numPr>
        <w:spacing w:after="80"/>
      </w:pPr>
      <w:r>
        <w:rPr>
          <w:color w:val="000000"/>
          <w:sz w:val="22"/>
          <w:szCs w:val="22"/>
        </w:rPr>
        <w:t>We used only one train and test split. The size of the gain from fusion can change with another split.</w:t>
      </w:r>
    </w:p>
    <w:p>
      <w:pPr>
        <w:pStyle w:val="ListParagraph"/>
        <w:numPr>
          <w:ilvl w:val="0"/>
          <w:numId w:val="2"/>
        </w:numPr>
        <w:spacing w:after="80"/>
      </w:pPr>
      <w:r>
        <w:rPr>
          <w:color w:val="000000"/>
          <w:sz w:val="22"/>
          <w:szCs w:val="22"/>
        </w:rPr>
        <w:t>The gain on cross validation is smaller than the gain on the test set. Fused models got about 0.87 to 0.89 on cross validation. The best single type got 0.83. So we need to check the size of the gain more carefully.</w:t>
      </w:r>
    </w:p>
    <w:p>
      <w:pPr>
        <w:pStyle w:val="ListParagraph"/>
        <w:numPr>
          <w:ilvl w:val="0"/>
          <w:numId w:val="2"/>
        </w:numPr>
        <w:spacing w:after="80"/>
      </w:pPr>
      <w:r>
        <w:rPr>
          <w:color w:val="000000"/>
          <w:sz w:val="22"/>
          <w:szCs w:val="22"/>
        </w:rPr>
        <w:t>Tuning did not help every model. SAR with Random Forest went from 0.81 to 0.79 on macro F1-score.</w:t>
      </w:r>
    </w:p>
    <w:p>
      <w:pPr>
        <w:pStyle w:val="ListParagraph"/>
        <w:numPr>
          <w:ilvl w:val="0"/>
          <w:numId w:val="2"/>
        </w:numPr>
        <w:spacing w:after="80"/>
      </w:pPr>
      <w:r>
        <w:rPr>
          <w:color w:val="000000"/>
          <w:sz w:val="22"/>
          <w:szCs w:val="22"/>
        </w:rPr>
        <w:t>We kept the tuning grid small because we have only 216 training fields. A large grid would mostly tune noise.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t4x_nftrop64hcc3qorp" Type="http://schemas.openxmlformats.org/officeDocument/2006/relationships/hyperlink" Target="https://github.com/Het1236/DIP_2026_19_3" TargetMode="Externa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2026-10-01T13:18:04.795Z</dcterms:created>
  <dcterms:modified xsi:type="dcterms:W3CDTF">2026-10-01T13:18:04.799Z</dcterms:modified>
</cp:coreProperties>
</file>

<file path=docProps/custom.xml><?xml version="1.0" encoding="utf-8"?>
<Properties xmlns="http://schemas.openxmlformats.org/officeDocument/2006/custom-properties" xmlns:vt="http://schemas.openxmlformats.org/officeDocument/2006/docPropsVTypes"/>
</file>