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Tables for the LNCS paper, Word version. Text width 122 mm; captions above tables, 9 pt; table text 8 pt Times; horizontal rules only (top, below header, bottom). Copy each table into the Springer LNCS Word template and apply its table-caption style. Numbers are generated from the saved results; do not retype them.</w:t>
      </w:r>
    </w:p>
    <w:p>
      <w:pPr>
        <w:keepNext/>
        <w:spacing w:before="240" w:after="80"/>
        <w:jc w:val="center"/>
      </w:pPr>
      <w:r>
        <w:rPr>
          <w:b/>
          <w:sz w:val="18"/>
        </w:rPr>
        <w:t xml:space="preserve">Table 1. </w:t>
      </w:r>
      <w:r>
        <w:rPr>
          <w:b w:val="0"/>
          <w:sz w:val="18"/>
        </w:rPr>
        <w:t>Comparison with related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</w:trPr>
        <w:tc>
          <w:tcPr>
            <w:tcW w:type="dxa" w:w="113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5"/>
              </w:rPr>
              <w:t>Work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5"/>
              </w:rPr>
              <w:t>Land records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5"/>
              </w:rPr>
              <w:t>Multi-source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5"/>
              </w:rPr>
              <w:t>Per-claim authority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5"/>
              </w:rPr>
              <w:t>Learned trust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5"/>
              </w:rPr>
              <w:t>Pre-commit conflict check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5"/>
              </w:rPr>
              <w:t>Escalates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5"/>
              </w:rPr>
              <w:t>Ground truth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Thakur et al. [1]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 (nodes)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 (deferred)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manual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Soner et al. [5]†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Shuaib et al. [6]†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Sahai, Pandey [7]†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?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Khanna et al. [15]‡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 (6 roles)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role-based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n.s.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n.s.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n.s.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n.s.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Chainlink [10]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 (nodes)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reput.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aggreg.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Truth discovery [13]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 (unsup.)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DecenTruth [14]‡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 (unsup.)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n.s.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5"/>
              </w:rPr>
              <w:t>sim.</w:t>
            </w:r>
          </w:p>
        </w:tc>
      </w:tr>
      <w:tr>
        <w:trPr>
          <w:cantSplit/>
        </w:trPr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5"/>
              </w:rPr>
              <w:t>This work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5"/>
              </w:rPr>
              <w:t>synthetic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5"/>
              </w:rPr>
              <w:t>yes (3)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5"/>
              </w:rPr>
              <w:t>yes (labels)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822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5"/>
              </w:rPr>
              <w:t>yes</w:t>
            </w:r>
          </w:p>
        </w:tc>
      </w:tr>
    </w:tbl>
    <w:p>
      <w:pPr>
        <w:spacing w:before="40"/>
      </w:pPr>
      <w:r>
        <w:rPr>
          <w:b w:val="0"/>
          <w:sz w:val="14"/>
        </w:rPr>
        <w:t>† Full text not yet read; ? = not determined. ‡ Compared at abstract level only. n.s. = not stated in the abstract; unsup. = estimated without labels; reput. = reputation; aggreg. = aggregation of node reports; sim. = simulation; — = not applicable to a survey.</w:t>
      </w:r>
    </w:p>
    <w:p>
      <w:pPr>
        <w:keepNext/>
        <w:spacing w:before="240" w:after="80"/>
        <w:jc w:val="center"/>
      </w:pPr>
      <w:r>
        <w:rPr>
          <w:b/>
          <w:sz w:val="18"/>
        </w:rPr>
        <w:t xml:space="preserve">Table 2. </w:t>
      </w:r>
      <w:r>
        <w:rPr>
          <w:b w:val="0"/>
          <w:sz w:val="18"/>
        </w:rPr>
        <w:t>Claim-specific authority A(i,k) (modelling assumption)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1474"/>
        <w:gridCol w:w="1361"/>
      </w:tblGrid>
      <w:tr>
        <w:trPr>
          <w:cantSplit/>
          <w:tblHeader/>
        </w:trPr>
        <w:tc>
          <w:tcPr>
            <w:tcW w:type="dxa" w:w="124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type="dxa" w:w="1361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47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8"/>
              </w:rPr>
              <w:t>Sub-Registrar</w:t>
            </w:r>
          </w:p>
        </w:tc>
        <w:tc>
          <w:tcPr>
            <w:tcW w:type="dxa" w:w="1361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8"/>
              </w:rPr>
              <w:t>Judiciary</w:t>
            </w:r>
          </w:p>
        </w:tc>
      </w:tr>
      <w:tr>
        <w:trPr>
          <w:cantSplit/>
        </w:trPr>
        <w:tc>
          <w:tcPr>
            <w:tcW w:type="dxa" w:w="124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8"/>
              </w:rPr>
              <w:t>own</w:t>
            </w:r>
          </w:p>
        </w:tc>
        <w:tc>
          <w:tcPr>
            <w:tcW w:type="dxa" w:w="136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8"/>
              </w:rPr>
              <w:t>0.6</w:t>
            </w:r>
          </w:p>
        </w:tc>
        <w:tc>
          <w:tcPr>
            <w:tcW w:type="dxa" w:w="136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124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8"/>
              </w:rPr>
              <w:t>deed</w:t>
            </w:r>
          </w:p>
        </w:tc>
        <w:tc>
          <w:tcPr>
            <w:tcW w:type="dxa" w:w="136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8"/>
              </w:rPr>
              <w:t>0.6</w:t>
            </w:r>
          </w:p>
        </w:tc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36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124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8"/>
              </w:rPr>
              <w:t>restr</w:t>
            </w:r>
          </w:p>
        </w:tc>
        <w:tc>
          <w:tcPr>
            <w:tcW w:type="dxa" w:w="1361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1361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8"/>
              </w:rPr>
              <w:t>1.0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  <w:sz w:val="18"/>
        </w:rPr>
        <w:t xml:space="preserve">Table 3. </w:t>
      </w:r>
      <w:r>
        <w:rPr>
          <w:b w:val="0"/>
          <w:sz w:val="18"/>
        </w:rPr>
        <w:t>Worked example: request 123 in S5a, seed 1, with a pending proceeding visible only to the Judiciary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191"/>
        <w:gridCol w:w="907"/>
        <w:gridCol w:w="2098"/>
        <w:gridCol w:w="1191"/>
      </w:tblGrid>
      <w:tr>
        <w:trPr>
          <w:cantSplit/>
          <w:tblHeader/>
        </w:trPr>
        <w:tc>
          <w:tcPr>
            <w:tcW w:type="dxa" w:w="141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Support for</w:t>
              <w:br/>
            </w:r>
            <w:r>
              <w:rPr>
                <w:b/>
                <w:sz w:val="16"/>
              </w:rPr>
              <w:t>‘clear’ on restr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098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Reason code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B1 Majority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2 of 3 clear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COMMIT</w:t>
            </w:r>
          </w:p>
        </w:tc>
        <w:tc>
          <w:tcPr>
            <w:tcW w:type="dxa" w:w="209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false commit</w:t>
            </w:r>
          </w:p>
        </w:tc>
      </w:tr>
      <w:tr>
        <w:trPr>
          <w:cantSplit/>
        </w:trPr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B2 Authority-only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0.286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ESCALATE</w:t>
            </w:r>
          </w:p>
        </w:tc>
        <w:tc>
          <w:tcPr>
            <w:tcW w:type="dxa" w:w="209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restr: low support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escalated</w:t>
            </w:r>
          </w:p>
        </w:tc>
      </w:tr>
      <w:tr>
        <w:trPr>
          <w:cantSplit/>
        </w:trPr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B3 Trust-only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0.666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COMMIT</w:t>
            </w:r>
          </w:p>
        </w:tc>
        <w:tc>
          <w:tcPr>
            <w:tcW w:type="dxa" w:w="209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false commit</w:t>
            </w:r>
          </w:p>
        </w:tc>
      </w:tr>
      <w:tr>
        <w:trPr>
          <w:cantSplit/>
        </w:trPr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P−V Hybrid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0.285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ESCALATE</w:t>
            </w:r>
          </w:p>
        </w:tc>
        <w:tc>
          <w:tcPr>
            <w:tcW w:type="dxa" w:w="209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restr: low support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escalated</w:t>
            </w:r>
          </w:p>
        </w:tc>
      </w:tr>
      <w:tr>
        <w:trPr>
          <w:cantSplit/>
        </w:trPr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P Hybrid + veto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veto first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ESCALATE</w:t>
            </w:r>
          </w:p>
        </w:tc>
        <w:tc>
          <w:tcPr>
            <w:tcW w:type="dxa" w:w="2098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veto: proceeding reported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escalated</w:t>
            </w:r>
          </w:p>
        </w:tc>
      </w:tr>
    </w:tbl>
    <w:p>
      <w:pPr>
        <w:spacing w:before="40"/>
      </w:pPr>
      <w:r>
        <w:rPr>
          <w:b w:val="0"/>
          <w:sz w:val="14"/>
        </w:rPr>
        <w:t>Truth: own pass, deed pass, restr pending (request invalid). Reports (own, deed, restr): R: +1 +1 +1; S: −1 +1 +1; J: +1 +1 −1. Trust under ideal feedback at that point: R, S and J on restr ≈ 1.00; θ = 0.65.</w:t>
      </w:r>
    </w:p>
    <w:p>
      <w:pPr>
        <w:keepNext/>
        <w:spacing w:before="240" w:after="80"/>
        <w:jc w:val="center"/>
      </w:pPr>
      <w:r>
        <w:rPr>
          <w:b/>
          <w:sz w:val="18"/>
        </w:rPr>
        <w:t xml:space="preserve">Table 4. </w:t>
      </w:r>
      <w:r>
        <w:rPr>
          <w:b w:val="0"/>
          <w:sz w:val="18"/>
        </w:rPr>
        <w:t>Scenarios; each changes one setting from S1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567"/>
      </w:tblGrid>
      <w:tr>
        <w:trPr>
          <w:cantSplit/>
          <w:tblHeader/>
        </w:trPr>
        <w:tc>
          <w:tcPr>
            <w:tcW w:type="dxa" w:w="181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Change from S1</w:t>
            </w:r>
          </w:p>
        </w:tc>
        <w:tc>
          <w:tcPr>
            <w:tcW w:type="dxa" w:w="56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RQ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S1 Aligned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None: authority matches each office’s most accurate check</w:t>
            </w:r>
          </w:p>
        </w:tc>
        <w:tc>
          <w:tcPr>
            <w:tcW w:type="dxa" w:w="56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S2 Degraded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From request 251, Revenue accuracy 0.50 on all checks</w:t>
            </w:r>
          </w:p>
        </w:tc>
        <w:tc>
          <w:tcPr>
            <w:tcW w:type="dxa" w:w="56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S3 Misaligned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On own, Revenue 0.75 and Sub-Registrar 0.95; authority unchanged</w:t>
            </w:r>
          </w:p>
        </w:tc>
        <w:tc>
          <w:tcPr>
            <w:tcW w:type="dxa" w:w="56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S4 Low availability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Outage probability 0.25 per office per request</w:t>
            </w:r>
          </w:p>
        </w:tc>
        <w:tc>
          <w:tcPr>
            <w:tcW w:type="dxa" w:w="56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S5a Proceedings stress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Revenue and Sub-Registrar always report ‘clear’ on restr</w:t>
            </w:r>
          </w:p>
        </w:tc>
        <w:tc>
          <w:tcPr>
            <w:tcW w:type="dxa" w:w="56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S5b Alt. authority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As S5a, with A(R, restr) = A(S, restr) = 0.6</w:t>
            </w:r>
          </w:p>
        </w:tc>
        <w:tc>
          <w:tcPr>
            <w:tcW w:type="dxa" w:w="56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4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  <w:sz w:val="18"/>
        </w:rPr>
        <w:t xml:space="preserve">Table 5. </w:t>
      </w:r>
      <w:r>
        <w:rPr>
          <w:b w:val="0"/>
          <w:sz w:val="18"/>
        </w:rPr>
        <w:t>Mechanisms compared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134"/>
        <w:gridCol w:w="1417"/>
        <w:gridCol w:w="1531"/>
        <w:gridCol w:w="624"/>
        <w:gridCol w:w="737"/>
      </w:tblGrid>
      <w:tr>
        <w:trPr>
          <w:cantSplit/>
          <w:tblHeader/>
        </w:trPr>
        <w:tc>
          <w:tcPr>
            <w:tcW w:type="dxa" w:w="147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113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dxa" w:w="141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Pass rule per check</w:t>
            </w:r>
          </w:p>
        </w:tc>
        <w:tc>
          <w:tcPr>
            <w:tcW w:type="dxa" w:w="1531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Coverage gate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Veto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Learns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B1 Majority</w:t>
            </w:r>
          </w:p>
        </w:tc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&gt; half of responders</w:t>
            </w:r>
          </w:p>
        </w:tc>
        <w:tc>
          <w:tcPr>
            <w:tcW w:type="dxa" w:w="153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≥ 2 of 3 responded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B2 Authority-only</w:t>
            </w:r>
          </w:p>
        </w:tc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A(i,k)</w:t>
            </w:r>
          </w:p>
        </w:tc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i/>
                <w:sz w:val="16"/>
              </w:rPr>
              <w:t>S</w:t>
            </w:r>
            <w:r>
              <w:rPr>
                <w:b w:val="0"/>
                <w:i/>
                <w:sz w:val="16"/>
                <w:vertAlign w:val="subscript"/>
              </w:rPr>
              <w:t>k</w:t>
            </w:r>
            <w:r>
              <w:rPr>
                <w:b w:val="0"/>
                <w:sz w:val="16"/>
              </w:rPr>
              <w:t xml:space="preserve"> ≥ θ</w:t>
            </w:r>
          </w:p>
        </w:tc>
        <w:tc>
          <w:tcPr>
            <w:tcW w:type="dxa" w:w="153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i/>
                <w:sz w:val="16"/>
              </w:rPr>
              <w:t>Q</w:t>
            </w:r>
            <w:r>
              <w:rPr>
                <w:b w:val="0"/>
                <w:i/>
                <w:sz w:val="16"/>
                <w:vertAlign w:val="subscript"/>
              </w:rPr>
              <w:t>k</w:t>
            </w:r>
            <w:r>
              <w:rPr>
                <w:b w:val="0"/>
                <w:sz w:val="16"/>
              </w:rPr>
              <w:t xml:space="preserve"> ≥ 0.5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B3 Trust-only</w:t>
            </w:r>
          </w:p>
        </w:tc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i/>
                <w:sz w:val="16"/>
              </w:rPr>
              <w:t>T</w:t>
            </w:r>
            <w:r>
              <w:rPr>
                <w:b w:val="0"/>
                <w:i/>
                <w:sz w:val="16"/>
                <w:vertAlign w:val="subscript"/>
              </w:rPr>
              <w:t>ik</w:t>
            </w:r>
          </w:p>
        </w:tc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i/>
                <w:sz w:val="16"/>
              </w:rPr>
              <w:t>S</w:t>
            </w:r>
            <w:r>
              <w:rPr>
                <w:b w:val="0"/>
                <w:i/>
                <w:sz w:val="16"/>
                <w:vertAlign w:val="subscript"/>
              </w:rPr>
              <w:t>k</w:t>
            </w:r>
            <w:r>
              <w:rPr>
                <w:b w:val="0"/>
                <w:sz w:val="16"/>
              </w:rPr>
              <w:t xml:space="preserve"> ≥ θ</w:t>
            </w:r>
          </w:p>
        </w:tc>
        <w:tc>
          <w:tcPr>
            <w:tcW w:type="dxa" w:w="153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i/>
                <w:sz w:val="16"/>
              </w:rPr>
              <w:t>Q</w:t>
            </w:r>
            <w:r>
              <w:rPr>
                <w:b w:val="0"/>
                <w:i/>
                <w:sz w:val="16"/>
                <w:vertAlign w:val="subscript"/>
              </w:rPr>
              <w:t>k</w:t>
            </w:r>
            <w:r>
              <w:rPr>
                <w:b w:val="0"/>
                <w:sz w:val="16"/>
              </w:rPr>
              <w:t xml:space="preserve"> ≥ 0.5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P−V Hybrid</w:t>
            </w:r>
          </w:p>
        </w:tc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A(i,k)·</w:t>
            </w:r>
            <w:r>
              <w:rPr>
                <w:b w:val="0"/>
                <w:i/>
                <w:sz w:val="16"/>
              </w:rPr>
              <w:t>T</w:t>
            </w:r>
            <w:r>
              <w:rPr>
                <w:b w:val="0"/>
                <w:i/>
                <w:sz w:val="16"/>
                <w:vertAlign w:val="subscript"/>
              </w:rPr>
              <w:t>ik</w:t>
            </w:r>
          </w:p>
        </w:tc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i/>
                <w:sz w:val="16"/>
              </w:rPr>
              <w:t>S</w:t>
            </w:r>
            <w:r>
              <w:rPr>
                <w:b w:val="0"/>
                <w:i/>
                <w:sz w:val="16"/>
                <w:vertAlign w:val="subscript"/>
              </w:rPr>
              <w:t>k</w:t>
            </w:r>
            <w:r>
              <w:rPr>
                <w:b w:val="0"/>
                <w:sz w:val="16"/>
              </w:rPr>
              <w:t xml:space="preserve"> ≥ θ</w:t>
            </w:r>
          </w:p>
        </w:tc>
        <w:tc>
          <w:tcPr>
            <w:tcW w:type="dxa" w:w="153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i/>
                <w:sz w:val="16"/>
              </w:rPr>
              <w:t>Q</w:t>
            </w:r>
            <w:r>
              <w:rPr>
                <w:b w:val="0"/>
                <w:i/>
                <w:sz w:val="16"/>
                <w:vertAlign w:val="subscript"/>
              </w:rPr>
              <w:t>k</w:t>
            </w:r>
            <w:r>
              <w:rPr>
                <w:b w:val="0"/>
                <w:sz w:val="16"/>
              </w:rPr>
              <w:t xml:space="preserve"> ≥ 0.5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P Hybrid + veto</w:t>
            </w:r>
          </w:p>
        </w:tc>
        <w:tc>
          <w:tcPr>
            <w:tcW w:type="dxa" w:w="113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A(i,k)·</w:t>
            </w:r>
            <w:r>
              <w:rPr>
                <w:b w:val="0"/>
                <w:i/>
                <w:sz w:val="16"/>
              </w:rPr>
              <w:t>T</w:t>
            </w:r>
            <w:r>
              <w:rPr>
                <w:b w:val="0"/>
                <w:i/>
                <w:sz w:val="16"/>
                <w:vertAlign w:val="subscript"/>
              </w:rPr>
              <w:t>ik</w:t>
            </w:r>
          </w:p>
        </w:tc>
        <w:tc>
          <w:tcPr>
            <w:tcW w:type="dxa" w:w="141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i/>
                <w:sz w:val="16"/>
              </w:rPr>
              <w:t>S</w:t>
            </w:r>
            <w:r>
              <w:rPr>
                <w:b w:val="0"/>
                <w:i/>
                <w:sz w:val="16"/>
                <w:vertAlign w:val="subscript"/>
              </w:rPr>
              <w:t>k</w:t>
            </w:r>
            <w:r>
              <w:rPr>
                <w:b w:val="0"/>
                <w:sz w:val="16"/>
              </w:rPr>
              <w:t xml:space="preserve"> ≥ θ</w:t>
            </w:r>
          </w:p>
        </w:tc>
        <w:tc>
          <w:tcPr>
            <w:tcW w:type="dxa" w:w="1531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i/>
                <w:sz w:val="16"/>
              </w:rPr>
              <w:t>Q</w:t>
            </w:r>
            <w:r>
              <w:rPr>
                <w:b w:val="0"/>
                <w:i/>
                <w:sz w:val="16"/>
                <w:vertAlign w:val="subscript"/>
              </w:rPr>
              <w:t>k</w:t>
            </w:r>
            <w:r>
              <w:rPr>
                <w:b w:val="0"/>
                <w:sz w:val="16"/>
              </w:rPr>
              <w:t xml:space="preserve"> ≥ 0.5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yes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  <w:sz w:val="18"/>
        </w:rPr>
        <w:t xml:space="preserve">Table 6. </w:t>
      </w:r>
      <w:r>
        <w:rPr>
          <w:b w:val="0"/>
          <w:sz w:val="18"/>
        </w:rPr>
        <w:t>False-commit rate (FCR) and valid-commit coverage (VCC), %, mean over 100 seeds, ideal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cantSplit/>
          <w:tblHeader/>
        </w:trPr>
        <w:tc>
          <w:tcPr>
            <w:tcW w:type="dxa" w:w="147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S1 FCR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S1 VCC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S2 FCR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S2 VCC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S3 FCR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S3 VCC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S4 FCR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S4 VCC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B1 Majority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3.05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73.2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6.34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56.3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3.03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73.2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2.87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44.6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B2 Authority-only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1.15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71.5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4.63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44.8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2.09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1.64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45.9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B3 Trust-only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1.06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61.7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2.54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42.2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61.7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39.5</w:t>
            </w:r>
          </w:p>
        </w:tc>
      </w:tr>
      <w:tr>
        <w:trPr>
          <w:cantSplit/>
        </w:trPr>
        <w:tc>
          <w:tcPr>
            <w:tcW w:type="dxa" w:w="147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Hybrid (P−V = P)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68.7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3.86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44.2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1.50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57.9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1.13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31.8</w:t>
            </w:r>
          </w:p>
        </w:tc>
      </w:tr>
    </w:tbl>
    <w:p>
      <w:pPr>
        <w:spacing w:before="40"/>
      </w:pPr>
      <w:r>
        <w:rPr>
          <w:b w:val="0"/>
          <w:sz w:val="14"/>
        </w:rPr>
        <w:t>Between-seed SD: FCR 0.45–1.23, VCC 1.7–2.0. P and P−V made identical decisions in every run of S1–S4.</w:t>
      </w:r>
    </w:p>
    <w:p>
      <w:pPr>
        <w:keepNext/>
        <w:spacing w:before="240" w:after="80"/>
        <w:jc w:val="center"/>
      </w:pPr>
      <w:r>
        <w:rPr>
          <w:b/>
          <w:sz w:val="18"/>
        </w:rPr>
        <w:t xml:space="preserve">Table 7. </w:t>
      </w:r>
      <w:r>
        <w:rPr>
          <w:b w:val="0"/>
          <w:sz w:val="18"/>
        </w:rPr>
        <w:t>Pre-specified paired comparisons (100 seeds; percentage points; breaches per 1,000 requests)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551"/>
        <w:gridCol w:w="1814"/>
        <w:gridCol w:w="737"/>
        <w:gridCol w:w="624"/>
        <w:gridCol w:w="680"/>
      </w:tblGrid>
      <w:tr>
        <w:trPr>
          <w:cantSplit/>
          <w:tblHeader/>
        </w:trPr>
        <w:tc>
          <w:tcPr>
            <w:tcW w:type="dxa" w:w="51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Metric: comparison (scenario)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Difference [95% CI]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Half-width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Holm p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Reading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H1a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FCR: P−V − B1 (S1)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−1.96 [−2.12, −1.81]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0.16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H1b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FCR: P−V − B2 (S1)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−0.06 [−0.09, −0.03]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lower, &lt; Δ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H2a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FCR: P−V − B2 (S2, 251–1000)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−1.28 [−1.49, −1.08]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H2b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VCC: P−V − B3 (S2, 251–1000)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+0.30 [−0.13, +0.72]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0.42†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no clear diff.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H2c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FCR: P−V − B2 (S3)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−0.60 [−0.67, −0.52]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H3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VCC: P−V − B1 (S4)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−12.82 [−13.10, −12.54]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0.28†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lower (descr.)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H4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Breaches: P − P−V (S5b)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identical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H5</w:t>
            </w:r>
          </w:p>
        </w:tc>
        <w:tc>
          <w:tcPr>
            <w:tcW w:type="dxa" w:w="2551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FCR: P under F1 − F0 (S2)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−0.13 [−0.25, −0.005]</w:t>
            </w:r>
          </w:p>
        </w:tc>
        <w:tc>
          <w:tcPr>
            <w:tcW w:type="dxa" w:w="73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0.12</w:t>
            </w:r>
          </w:p>
        </w:tc>
        <w:tc>
          <w:tcPr>
            <w:tcW w:type="dxa" w:w="62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not supported</w:t>
            </w:r>
          </w:p>
        </w:tc>
      </w:tr>
    </w:tbl>
    <w:p>
      <w:pPr>
        <w:spacing w:before="40"/>
      </w:pPr>
      <w:r>
        <w:rPr>
          <w:b w:val="0"/>
          <w:sz w:val="14"/>
        </w:rPr>
        <w:t>† Above the precision target Δ/2 at the 100-seed cap. H3 is descriptive. H5 was one-sided (F1 higher).</w:t>
      </w:r>
    </w:p>
    <w:p>
      <w:pPr>
        <w:keepNext/>
        <w:spacing w:before="240" w:after="80"/>
        <w:jc w:val="center"/>
      </w:pPr>
      <w:r>
        <w:rPr>
          <w:b/>
          <w:sz w:val="18"/>
        </w:rPr>
        <w:t xml:space="preserve">Table 8. </w:t>
      </w:r>
      <w:r>
        <w:rPr>
          <w:b w:val="0"/>
          <w:sz w:val="18"/>
        </w:rPr>
        <w:t>Exploratory robustness study A2: levels at which each main conclusion holds, with the range of FCR differences in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76"/>
        <w:gridCol w:w="1276"/>
        <w:gridCol w:w="1276"/>
        <w:gridCol w:w="1276"/>
      </w:tblGrid>
      <w:tr>
        <w:trPr>
          <w:cantSplit/>
          <w:tblHeader/>
        </w:trPr>
        <w:tc>
          <w:tcPr>
            <w:tcW w:type="dxa" w:w="181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Factor varied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C1 (S1)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C1 (S2)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C2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C3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Off-home accuracy 0.60–0.85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(−6.2 to −0.4)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(−4.9 to −1.4)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3/4</w:t>
              <w:br/>
            </w:r>
            <w:r>
              <w:rPr>
                <w:b w:val="0"/>
                <w:sz w:val="16"/>
              </w:rPr>
              <w:t>(−1.6 to −0.2)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(−1.3 to −0.8)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Home accuracy 0.85–0.95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3/3</w:t>
              <w:br/>
            </w:r>
            <w:r>
              <w:rPr>
                <w:b w:val="0"/>
                <w:sz w:val="16"/>
              </w:rPr>
              <w:t>(−2.0 to −0.9)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3/3</w:t>
              <w:br/>
            </w:r>
            <w:r>
              <w:rPr>
                <w:b w:val="0"/>
                <w:sz w:val="16"/>
              </w:rPr>
              <w:t>(−2.5 to −1.6)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3/3</w:t>
              <w:br/>
            </w:r>
            <w:r>
              <w:rPr>
                <w:b w:val="0"/>
                <w:sz w:val="16"/>
              </w:rPr>
              <w:t>(−1.3 to −1.1)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3/3</w:t>
              <w:br/>
            </w:r>
            <w:r>
              <w:rPr>
                <w:b w:val="0"/>
                <w:sz w:val="16"/>
              </w:rPr>
              <w:t>(−1.9 to −1.3)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Shared R+S errors ρ = 0–0.20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(−3.6 to −2.0)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(−3.6 to −2.5)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(−2.0 to −1.3)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(−5.0 to −1.3)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Label noise e = 0–0.10, F0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(−2.5 to −2.4)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(−1.3 to −1.1)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(−1.3 to −1.2)</w:t>
            </w:r>
          </w:p>
        </w:tc>
      </w:tr>
      <w:tr>
        <w:trPr>
          <w:cantSplit/>
        </w:trPr>
        <w:tc>
          <w:tcPr>
            <w:tcW w:type="dxa" w:w="181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Label noise e = 0–0.10, F1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(−2.6 to −2.5)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(−1.6 to −1.4)</w:t>
            </w:r>
          </w:p>
        </w:tc>
        <w:tc>
          <w:tcPr>
            <w:tcW w:type="dxa" w:w="1276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4/4</w:t>
              <w:br/>
            </w:r>
            <w:r>
              <w:rPr>
                <w:b w:val="0"/>
                <w:sz w:val="16"/>
              </w:rPr>
              <w:t>(−0.9 to −0.8)</w:t>
            </w:r>
          </w:p>
        </w:tc>
      </w:tr>
    </w:tbl>
    <w:p>
      <w:pPr>
        <w:spacing w:before="40"/>
      </w:pPr>
      <w:r>
        <w:rPr>
          <w:b w:val="0"/>
          <w:sz w:val="14"/>
        </w:rPr>
        <w:t>C1: hybrid below majority. C2: hybrid below authority-only after degradation (requests 251–1000). C3: trust-only below hybrid (S2). Holds: the 95% CI excludes 0 with the main-study sign. No conclusion reversed.</w:t>
      </w:r>
    </w:p>
    <w:p>
      <w:r>
        <w:rPr>
          <w:b/>
        </w:rPr>
        <w:t>Supplementary tables (not counted in the 10 pages)</w:t>
      </w:r>
    </w:p>
    <w:p>
      <w:pPr>
        <w:keepNext/>
        <w:spacing w:before="240" w:after="80"/>
        <w:jc w:val="center"/>
      </w:pPr>
      <w:r>
        <w:rPr>
          <w:b/>
          <w:sz w:val="18"/>
        </w:rPr>
        <w:t xml:space="preserve">Table S1. </w:t>
      </w:r>
      <w:r>
        <w:rPr>
          <w:b w:val="0"/>
          <w:sz w:val="18"/>
        </w:rPr>
        <w:t>Illustrative meaning of each simulated report (+1 / −1; ∅ = no response)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96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Office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own: seller is recorded holder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deed: deed registered, matching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restr: no pending proceeding</w:t>
            </w:r>
          </w:p>
        </w:tc>
      </w:tr>
      <w:tr>
        <w:trPr>
          <w:cantSplit/>
        </w:trPr>
        <w:tc>
          <w:tcPr>
            <w:tcW w:type="dxa" w:w="96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Revenue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Home. +1 record of rights names the seller; −1 names another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+1 mutation file cites a matching deed; −1 no match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+1 no pending revenue proceeding noted; −1 one is noted</w:t>
            </w:r>
          </w:p>
        </w:tc>
      </w:tr>
      <w:tr>
        <w:trPr>
          <w:cantSplit/>
        </w:trPr>
        <w:tc>
          <w:tcPr>
            <w:tcW w:type="dxa" w:w="96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Sub-Registrar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+1 earlier registered documents consistent with seller; −1 not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Home. +1 deed registered, parties and parcel match; −1 not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+1 no notice of a pending suit noted; −1 one is noted</w:t>
            </w:r>
          </w:p>
        </w:tc>
      </w:tr>
      <w:tr>
        <w:trPr>
          <w:cantSplit/>
        </w:trPr>
        <w:tc>
          <w:tcPr>
            <w:tcW w:type="dxa" w:w="96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Judiciary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+1 no court record contradicts the holding; −1 a decree names another holder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+1 no case challenges the deed; −1 one does</w:t>
            </w:r>
          </w:p>
        </w:tc>
        <w:tc>
          <w:tcPr>
            <w:tcW w:type="dxa" w:w="198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Home. +1 nothing pending in any forum covered; −1 a proceeding is pending</w:t>
            </w:r>
          </w:p>
        </w:tc>
      </w:tr>
    </w:tbl>
    <w:p>
      <w:pPr>
        <w:spacing w:before="40"/>
      </w:pPr>
      <w:r>
        <w:rPr>
          <w:b w:val="0"/>
          <w:sz w:val="14"/>
        </w:rPr>
        <w:t>Simulated signals only; not claims about the records real offices hold or certify.</w:t>
      </w:r>
    </w:p>
    <w:p>
      <w:pPr>
        <w:keepNext/>
        <w:spacing w:before="240" w:after="80"/>
        <w:jc w:val="center"/>
      </w:pPr>
      <w:r>
        <w:rPr>
          <w:b/>
          <w:sz w:val="18"/>
        </w:rPr>
        <w:t xml:space="preserve">Table S2. </w:t>
      </w:r>
      <w:r>
        <w:rPr>
          <w:b w:val="0"/>
          <w:sz w:val="18"/>
        </w:rPr>
        <w:t>Exploratory coverage-gate ablation A1 (paired 95% CIs, 100 seeds, percentage points)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94"/>
        <w:gridCol w:w="1587"/>
        <w:gridCol w:w="1587"/>
      </w:tblGrid>
      <w:tr>
        <w:trPr>
          <w:cantSplit/>
          <w:tblHeader/>
        </w:trPr>
        <w:tc>
          <w:tcPr>
            <w:tcW w:type="dxa" w:w="2948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FCR difference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VCC difference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Hybrid − majority, no gate (G0)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−1.85 [−2.00, −1.69]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−0.27 [−0.53, −0.004]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Hybrid − majority, no gate (G0)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S4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−0.99 [−1.14, −0.83]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+8.41 [+8.13, +8.70]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Hybrid − majority, common count gate (G1)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−1.85 [−2.01, −1.70]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−0.27 [−0.53, −0.004]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Hybrid − majority, common count gate (G1)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S4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−1.01 [−1.19, −0.83]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+8.41 [+8.13, +8.70]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Hybrid: weighted gate − count gate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−0.11 [−0.15, −0.07]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−4.25 [−4.39, −4.11]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Hybrid: weighted gate − count gate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S4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−0.72 [−0.85, −0.60]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−21.23 [−21.52, −20.95]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  <w:sz w:val="18"/>
        </w:rPr>
        <w:t xml:space="preserve">Table S3. </w:t>
      </w:r>
      <w:r>
        <w:rPr>
          <w:b w:val="0"/>
          <w:sz w:val="18"/>
        </w:rPr>
        <w:t>Status of every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969"/>
      </w:tblGrid>
      <w:tr>
        <w:trPr>
          <w:cantSplit/>
          <w:tblHeader/>
        </w:trPr>
        <w:tc>
          <w:tcPr>
            <w:tcW w:type="dxa" w:w="2948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Result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 xml:space="preserve">Tables 6–7; Fig. 2; Fig. S1; </w:t>
            </w:r>
            <w:r>
              <w:rPr>
                <w:b w:val="0"/>
                <w:i/>
                <w:sz w:val="16"/>
              </w:rPr>
              <w:t>q</w:t>
            </w:r>
            <w:r>
              <w:rPr>
                <w:b w:val="0"/>
                <w:i/>
                <w:sz w:val="16"/>
                <w:vertAlign w:val="subscript"/>
              </w:rPr>
              <w:t>min</w:t>
            </w:r>
            <w:r>
              <w:rPr>
                <w:b w:val="0"/>
                <w:sz w:val="16"/>
              </w:rPr>
              <w:t xml:space="preserve"> sweep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Pre-specified (frozen protocol); five analysis choices in Table S4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Veto bound (Sect. 3)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Analytic, derived before the protocol freeze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Counts per 1,000 requests; quoted trust values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Descriptive re-expression of pre-specified runs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Two-sided test for H5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Exploratory, added after results were seen</w:t>
            </w:r>
          </w:p>
        </w:tc>
      </w:tr>
      <w:tr>
        <w:trPr>
          <w:cantSplit/>
        </w:trPr>
        <w:tc>
          <w:tcPr>
            <w:tcW w:type="dxa" w:w="2948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Table S2 (A1); Table 8 and Fig. 3 (A2)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Exploratory; addenda committed before running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  <w:sz w:val="18"/>
        </w:rPr>
        <w:t xml:space="preserve">Table S4. </w:t>
      </w:r>
      <w:r>
        <w:rPr>
          <w:b w:val="0"/>
          <w:sz w:val="18"/>
        </w:rPr>
        <w:t>Analysis choices not covered by the frozen protocol (accepted by the supervisor)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"/>
        <w:gridCol w:w="2608"/>
        <w:gridCol w:w="3969"/>
      </w:tblGrid>
      <w:tr>
        <w:trPr>
          <w:cantSplit/>
          <w:tblHeader/>
        </w:trPr>
        <w:tc>
          <w:tcPr>
            <w:tcW w:type="dxa" w:w="340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Situation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20" w:after="20"/>
            </w:pPr>
            <w:r>
              <w:rPr>
                <w:b/>
                <w:sz w:val="16"/>
              </w:rPr>
              <w:t>Choice</w:t>
            </w:r>
          </w:p>
        </w:tc>
      </w:tr>
      <w:tr>
        <w:trPr>
          <w:cantSplit/>
        </w:trPr>
        <w:tc>
          <w:tcPr>
            <w:tcW w:type="dxa" w:w="34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H4 has zero variance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Interval is the point 0; p = 1.0 in the Holm family</w:t>
            </w:r>
          </w:p>
        </w:tc>
      </w:tr>
      <w:tr>
        <w:trPr>
          <w:cantSplit/>
        </w:trPr>
        <w:tc>
          <w:tcPr>
            <w:tcW w:type="dxa" w:w="34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H1b has no direction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Two-sided test inside the Holm family of seven</w:t>
            </w:r>
          </w:p>
        </w:tc>
      </w:tr>
      <w:tr>
        <w:trPr>
          <w:cantSplit/>
        </w:trPr>
        <w:tc>
          <w:tcPr>
            <w:tcW w:type="dxa" w:w="34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Significant and inside ±Δ (H1b)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Worded ‘lower, but smaller than Δ’</w:t>
            </w:r>
          </w:p>
        </w:tc>
      </w:tr>
      <w:tr>
        <w:trPr>
          <w:cantSplit/>
        </w:trPr>
        <w:tc>
          <w:tcPr>
            <w:tcW w:type="dxa" w:w="340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CI opposite a one-sided hypothesis (H5)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nil" w:sz="0" w:color="000000"/>
            </w:tcBorders>
          </w:tcPr>
          <w:p>
            <w:pPr>
              <w:keepNext/>
              <w:spacing w:before="20" w:after="20"/>
            </w:pPr>
            <w:r>
              <w:rPr>
                <w:b w:val="0"/>
                <w:sz w:val="16"/>
              </w:rPr>
              <w:t>‘Not supported’; two-sided CI and exploratory test reported</w:t>
            </w:r>
          </w:p>
        </w:tc>
      </w:tr>
      <w:tr>
        <w:trPr>
          <w:cantSplit/>
        </w:trPr>
        <w:tc>
          <w:tcPr>
            <w:tcW w:type="dxa" w:w="340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H3 has no direction</w:t>
            </w:r>
          </w:p>
        </w:tc>
        <w:tc>
          <w:tcPr>
            <w:tcW w:type="dxa" w:w="3969"/>
            <w:tcBorders>
              <w:left w:val="nil" w:sz="0" w:color="000000"/>
              <w:right w:val="nil" w:sz="0" w:color="000000"/>
              <w:top w:val="nil" w:sz="0" w:color="000000"/>
              <w:bottom w:val="single" w:sz="8" w:color="000000"/>
            </w:tcBorders>
          </w:tcPr>
          <w:p>
            <w:pPr>
              <w:keepNext w:val="0"/>
              <w:spacing w:before="20" w:after="20"/>
            </w:pPr>
            <w:r>
              <w:rPr>
                <w:b w:val="0"/>
                <w:sz w:val="16"/>
              </w:rPr>
              <w:t>Worded from its unadjusted CI; labelled descriptive</w:t>
            </w:r>
          </w:p>
        </w:tc>
      </w:tr>
    </w:tbl>
    <w:sectPr w:rsidR="00FC693F" w:rsidRPr="0006063C" w:rsidSect="00034616">
      <w:pgSz w:w="11906" w:h="16838"/>
      <w:pgMar w:top="2948" w:right="2494" w:bottom="2948" w:left="24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