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3922" w14:textId="77777777" w:rsidR="00DF7ED8" w:rsidRDefault="00000000">
      <w:pPr>
        <w:pStyle w:val="Heading1"/>
        <w:keepNext w:val="0"/>
        <w:keepLines w:val="0"/>
        <w:pBdr>
          <w:bottom w:val="none" w:sz="0" w:space="7" w:color="auto"/>
        </w:pBdr>
        <w:shd w:val="clear" w:color="auto" w:fill="FFFFFF"/>
        <w:spacing w:before="0" w:after="240" w:line="300" w:lineRule="auto"/>
        <w:rPr>
          <w:color w:val="1F2328"/>
          <w:sz w:val="96"/>
          <w:szCs w:val="96"/>
        </w:rPr>
      </w:pPr>
      <w:bookmarkStart w:id="0" w:name="_p4oe41d4hv38" w:colFirst="0" w:colLast="0"/>
      <w:bookmarkEnd w:id="0"/>
      <w:r>
        <w:t>Software Request &amp; Approval Platform: Current State Assessment &amp; Requirements</w:t>
      </w:r>
    </w:p>
    <w:p w14:paraId="07C33923" w14:textId="77777777" w:rsidR="00DF7ED8" w:rsidRDefault="00000000">
      <w:pPr>
        <w:pStyle w:val="Heading2"/>
        <w:keepNext w:val="0"/>
        <w:keepLines w:val="0"/>
        <w:pBdr>
          <w:bottom w:val="none" w:sz="0" w:space="5" w:color="auto"/>
        </w:pBdr>
        <w:shd w:val="clear" w:color="auto" w:fill="FFFFFF"/>
        <w:spacing w:after="240" w:line="300" w:lineRule="auto"/>
        <w:rPr>
          <w:color w:val="1F2328"/>
          <w:sz w:val="54"/>
          <w:szCs w:val="54"/>
        </w:rPr>
      </w:pPr>
      <w:bookmarkStart w:id="1" w:name="_a3ulsekfryx2" w:colFirst="0" w:colLast="0"/>
      <w:bookmarkEnd w:id="1"/>
      <w:r>
        <w:rPr>
          <w:color w:val="1F2328"/>
          <w:sz w:val="54"/>
          <w:szCs w:val="54"/>
        </w:rPr>
        <w:t>1. Executive Summary</w:t>
      </w:r>
    </w:p>
    <w:p w14:paraId="07C33924" w14:textId="7935F095" w:rsidR="00DF7ED8" w:rsidRDefault="00000000">
      <w:pPr>
        <w:shd w:val="clear" w:color="auto" w:fill="FFFFFF"/>
        <w:spacing w:after="240"/>
        <w:rPr>
          <w:color w:val="1F2328"/>
          <w:sz w:val="24"/>
          <w:szCs w:val="24"/>
        </w:rPr>
      </w:pPr>
      <w:r>
        <w:t xml:space="preserve">This document synthesizes the current state of how software installation requests are handled today and the requirements for the new Software Request &amp; Approval Platform. It outlines the existing SharePoint-form intake, the Power Automate automations triggered off it, current pain points around visibility, maintainability and auditability, followed by a comprehensive Requirements </w:t>
      </w:r>
      <w:r w:rsidR="003C3E6D">
        <w:t xml:space="preserve">list </w:t>
      </w:r>
      <w:r>
        <w:t>(Functional, Non-Functional and Project Requirements) for transitioning to a Power Platform Code App target state backed by Dataverse and Power Automate.</w:t>
      </w:r>
    </w:p>
    <w:p w14:paraId="07C33925" w14:textId="77777777" w:rsidR="00DF7ED8" w:rsidRDefault="00000000">
      <w:r>
        <w:pict w14:anchorId="07C33980">
          <v:rect id="_x0000_i1025" style="width:0;height:1.5pt" o:hralign="center" o:hrstd="t" o:hr="t" fillcolor="#a0a0a0" stroked="f"/>
        </w:pict>
      </w:r>
    </w:p>
    <w:p w14:paraId="07C33926" w14:textId="77777777" w:rsidR="00DF7ED8" w:rsidRDefault="00000000">
      <w:pPr>
        <w:pStyle w:val="Heading2"/>
        <w:keepNext w:val="0"/>
        <w:keepLines w:val="0"/>
        <w:pBdr>
          <w:bottom w:val="none" w:sz="0" w:space="5" w:color="auto"/>
        </w:pBdr>
        <w:shd w:val="clear" w:color="auto" w:fill="FFFFFF"/>
        <w:spacing w:after="240" w:line="300" w:lineRule="auto"/>
        <w:rPr>
          <w:color w:val="1F2328"/>
          <w:sz w:val="54"/>
          <w:szCs w:val="54"/>
        </w:rPr>
      </w:pPr>
      <w:bookmarkStart w:id="2" w:name="_m5fac7e5hnai" w:colFirst="0" w:colLast="0"/>
      <w:bookmarkEnd w:id="2"/>
      <w:r>
        <w:rPr>
          <w:color w:val="1F2328"/>
          <w:sz w:val="54"/>
          <w:szCs w:val="54"/>
        </w:rPr>
        <w:t>2. Current State Assessment</w:t>
      </w:r>
    </w:p>
    <w:p w14:paraId="07C33927"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3" w:name="_22bvw9s98fy2" w:colFirst="0" w:colLast="0"/>
      <w:bookmarkEnd w:id="3"/>
      <w:r>
        <w:t>2.1 Software Request Context (Existing Intake Landscape)</w:t>
      </w:r>
    </w:p>
    <w:p w14:paraId="07C33928" w14:textId="77777777" w:rsidR="00DF7ED8" w:rsidRDefault="00000000">
      <w:pPr>
        <w:shd w:val="clear" w:color="auto" w:fill="FFFFFF"/>
        <w:spacing w:after="240"/>
        <w:rPr>
          <w:color w:val="1F2328"/>
          <w:sz w:val="24"/>
          <w:szCs w:val="24"/>
        </w:rPr>
      </w:pPr>
      <w:r>
        <w:t>The existing intake for software requests is split across two distinct flows in the customer's IT portal:</w:t>
      </w:r>
    </w:p>
    <w:p w14:paraId="07C33929" w14:textId="77777777" w:rsidR="00DF7ED8" w:rsidRDefault="00000000">
      <w:pPr>
        <w:numPr>
          <w:ilvl w:val="0"/>
          <w:numId w:val="4"/>
        </w:numPr>
        <w:shd w:val="clear" w:color="auto" w:fill="FFFFFF"/>
      </w:pPr>
      <w:r>
        <w:t>Licensed apps form (SharePoint): Used when a request needs justification and approval — license cost, security review, or compliance signoff.</w:t>
      </w:r>
    </w:p>
    <w:p w14:paraId="07C3392A" w14:textId="77777777" w:rsidR="00DF7ED8" w:rsidRDefault="00000000">
      <w:pPr>
        <w:numPr>
          <w:ilvl w:val="0"/>
          <w:numId w:val="4"/>
        </w:numPr>
        <w:shd w:val="clear" w:color="auto" w:fill="FFFFFF"/>
      </w:pPr>
      <w:r>
        <w:t>Non-licensed apps form (SharePoint): Used for self-install of free / unlicensed software where no license decision is required.</w:t>
      </w:r>
    </w:p>
    <w:p w14:paraId="07C3392B" w14:textId="77777777" w:rsidR="00DF7ED8" w:rsidRDefault="00000000">
      <w:pPr>
        <w:numPr>
          <w:ilvl w:val="0"/>
          <w:numId w:val="4"/>
        </w:numPr>
        <w:shd w:val="clear" w:color="auto" w:fill="FFFFFF"/>
      </w:pPr>
      <w:r>
        <w:t>Automation: Both forms trigger Power Automate flows on submission that route the request to the relevant approver mailbox / queue and dispatch notifications by email.</w:t>
      </w:r>
    </w:p>
    <w:p w14:paraId="07C3392C" w14:textId="77777777" w:rsidR="00DF7ED8" w:rsidRDefault="00000000">
      <w:pPr>
        <w:numPr>
          <w:ilvl w:val="0"/>
          <w:numId w:val="4"/>
        </w:numPr>
        <w:shd w:val="clear" w:color="auto" w:fill="FFFFFF"/>
        <w:spacing w:after="240"/>
      </w:pPr>
      <w:r>
        <w:t>Target Vision: Replace both SharePoint forms with a single Power Apps Code App. Licensed and non-licensed remain distinct flows — different fields, different routing — behind a single, consistent intake.</w:t>
      </w:r>
    </w:p>
    <w:p w14:paraId="07C3392D"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4" w:name="_iatdfkp5g8i1" w:colFirst="0" w:colLast="0"/>
      <w:bookmarkEnd w:id="4"/>
      <w:r>
        <w:t>2.2 Current Solution Deep-Dive</w:t>
      </w:r>
    </w:p>
    <w:p w14:paraId="07C3392E" w14:textId="77777777" w:rsidR="00DF7ED8" w:rsidRDefault="00000000">
      <w:pPr>
        <w:numPr>
          <w:ilvl w:val="0"/>
          <w:numId w:val="2"/>
        </w:numPr>
        <w:shd w:val="clear" w:color="auto" w:fill="FFFFFF"/>
      </w:pPr>
      <w:r>
        <w:t>Intake Mechanics: Two SharePoint Forms (Licensed / Non-Licensed) embedded in the existing IT portal. Submission writes a row to a SharePoint list and triggers downstream automation.</w:t>
      </w:r>
    </w:p>
    <w:p w14:paraId="07C3392F" w14:textId="77777777" w:rsidR="00DF7ED8" w:rsidRDefault="00000000">
      <w:pPr>
        <w:numPr>
          <w:ilvl w:val="0"/>
          <w:numId w:val="2"/>
        </w:numPr>
        <w:shd w:val="clear" w:color="auto" w:fill="FFFFFF"/>
      </w:pPr>
      <w:r>
        <w:lastRenderedPageBreak/>
        <w:t>Automation Mechanism: Power Automate flows perform routing, approval dispatch, reminders and escalation. Approvals are handled by email and Outlook actionable messages.</w:t>
      </w:r>
    </w:p>
    <w:p w14:paraId="07C33930" w14:textId="77777777" w:rsidR="00DF7ED8" w:rsidRDefault="00000000">
      <w:pPr>
        <w:numPr>
          <w:ilvl w:val="0"/>
          <w:numId w:val="2"/>
        </w:numPr>
        <w:shd w:val="clear" w:color="auto" w:fill="FFFFFF"/>
      </w:pPr>
      <w:r>
        <w:t>Workflow State: Request state is split across SharePoint list columns and email threads; there is no single system of record for the request lifecycle.</w:t>
      </w:r>
    </w:p>
    <w:p w14:paraId="07C33931" w14:textId="77777777" w:rsidR="00DF7ED8" w:rsidRDefault="00000000">
      <w:pPr>
        <w:numPr>
          <w:ilvl w:val="1"/>
          <w:numId w:val="2"/>
        </w:numPr>
      </w:pPr>
      <w:r>
        <w:t>End-of-Life Communication: When an application reaches end of life, a separate Power Automate flow is run by IT to notify the groups of users that have the app installed. The user list is sourced from existing Intune reporting; the flow is run ad-hoc rather than on a scheduled trigger.</w:t>
      </w:r>
    </w:p>
    <w:p w14:paraId="07C33932" w14:textId="77777777" w:rsidR="00DF7ED8" w:rsidRDefault="00000000">
      <w:pPr>
        <w:numPr>
          <w:ilvl w:val="1"/>
          <w:numId w:val="2"/>
        </w:numPr>
      </w:pPr>
      <w:r>
        <w:t>Governance &amp; RBAC: Approver routing is configured per-flow inside Power Automate. There is no central role catalogue — adding or changing an approver requires editing each affected flow individually.</w:t>
      </w:r>
    </w:p>
    <w:p w14:paraId="07C33933" w14:textId="77777777" w:rsidR="00DF7ED8" w:rsidRDefault="00DF7ED8">
      <w:pPr>
        <w:numPr>
          <w:ilvl w:val="0"/>
          <w:numId w:val="2"/>
        </w:numPr>
        <w:shd w:val="clear" w:color="auto" w:fill="FFFFFF"/>
        <w:spacing w:after="240"/>
      </w:pPr>
    </w:p>
    <w:p w14:paraId="07C33934"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5" w:name="_3vi2ok2h1zsu" w:colFirst="0" w:colLast="0"/>
      <w:bookmarkEnd w:id="5"/>
      <w:r>
        <w:rPr>
          <w:color w:val="1F2328"/>
          <w:sz w:val="35"/>
          <w:szCs w:val="35"/>
        </w:rPr>
        <w:t>2.3 Scope &amp; Scale</w:t>
      </w:r>
    </w:p>
    <w:p w14:paraId="07C33935" w14:textId="77777777" w:rsidR="00DF7ED8" w:rsidRDefault="00000000">
      <w:pPr>
        <w:numPr>
          <w:ilvl w:val="0"/>
          <w:numId w:val="1"/>
        </w:numPr>
        <w:shd w:val="clear" w:color="auto" w:fill="FFFFFF"/>
      </w:pPr>
      <w:r>
        <w:t>Two SharePoint forms in production (Licensed, Non-Licensed) plus their backing SharePoint lists.</w:t>
      </w:r>
    </w:p>
    <w:p w14:paraId="07C33936" w14:textId="77777777" w:rsidR="00DF7ED8" w:rsidRDefault="00000000">
      <w:pPr>
        <w:numPr>
          <w:ilvl w:val="0"/>
          <w:numId w:val="1"/>
        </w:numPr>
        <w:shd w:val="clear" w:color="auto" w:fill="FFFFFF"/>
      </w:pPr>
      <w:r>
        <w:t>Multiple Power Automate flows wired off each form for routing, approval, reminders, escalation and end-of-life notification.</w:t>
      </w:r>
    </w:p>
    <w:p w14:paraId="07C33937" w14:textId="77777777" w:rsidR="00DF7ED8" w:rsidRDefault="00000000">
      <w:pPr>
        <w:numPr>
          <w:ilvl w:val="0"/>
          <w:numId w:val="1"/>
        </w:numPr>
        <w:shd w:val="clear" w:color="auto" w:fill="FFFFFF"/>
      </w:pPr>
      <w:r>
        <w:t>Underlying user and device data lives in Microsoft Intune — used today for end-of-life user targeting and is a candidate source for metadata auto-fill in the new app (scope to be confirmed with the Intune team).</w:t>
      </w:r>
    </w:p>
    <w:p w14:paraId="07C33938" w14:textId="77777777" w:rsidR="00DF7ED8" w:rsidRDefault="00000000">
      <w:pPr>
        <w:numPr>
          <w:ilvl w:val="0"/>
          <w:numId w:val="1"/>
        </w:numPr>
        <w:shd w:val="clear" w:color="auto" w:fill="FFFFFF"/>
        <w:spacing w:after="240"/>
      </w:pPr>
      <w:r>
        <w:t>All in-scope users sit on Entra ID (SSO) within the customer tenant; no secondary identity provider is in use.</w:t>
      </w:r>
    </w:p>
    <w:p w14:paraId="07C33939"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6" w:name="_itce88nczuwm" w:colFirst="0" w:colLast="0"/>
      <w:bookmarkEnd w:id="6"/>
      <w:r>
        <w:rPr>
          <w:color w:val="1F2328"/>
          <w:sz w:val="35"/>
          <w:szCs w:val="35"/>
        </w:rPr>
        <w:t>2.4 Identified Pain Points &amp; Friction</w:t>
      </w:r>
    </w:p>
    <w:p w14:paraId="07C3393A" w14:textId="77777777" w:rsidR="00DF7ED8" w:rsidRDefault="00000000">
      <w:pPr>
        <w:numPr>
          <w:ilvl w:val="0"/>
          <w:numId w:val="3"/>
        </w:numPr>
        <w:shd w:val="clear" w:color="auto" w:fill="FFFFFF"/>
      </w:pPr>
      <w:r>
        <w:t>Low visibility: There is no central dashboard. The state of a request lives partly in a SharePoint row and partly in an email thread — admins cannot easily see how many requests are pending, how long they have been sitting, or where the bottleneck is.</w:t>
      </w:r>
    </w:p>
    <w:p w14:paraId="07C3393B" w14:textId="77777777" w:rsidR="00DF7ED8" w:rsidRDefault="00000000">
      <w:pPr>
        <w:numPr>
          <w:ilvl w:val="0"/>
          <w:numId w:val="3"/>
        </w:numPr>
        <w:shd w:val="clear" w:color="auto" w:fill="FFFFFF"/>
      </w:pPr>
      <w:r>
        <w:t>Low maintainability: Workflow logic is spread across multiple Power Automate flows with no shared schema. Adding a new approver, changing an SLA, or onboarding a new software category requires editing each flow individually.</w:t>
      </w:r>
    </w:p>
    <w:p w14:paraId="07C3393C" w14:textId="77777777" w:rsidR="00DF7ED8" w:rsidRDefault="00000000">
      <w:pPr>
        <w:numPr>
          <w:ilvl w:val="0"/>
          <w:numId w:val="3"/>
        </w:numPr>
        <w:shd w:val="clear" w:color="auto" w:fill="FFFFFF"/>
      </w:pPr>
      <w:r>
        <w:t>No immutable audit trail: Decisions are recorded as emails and SharePoint columns. There is no per-request timestamped log of every action with who, when and what.</w:t>
      </w:r>
    </w:p>
    <w:p w14:paraId="07C3393D" w14:textId="77777777" w:rsidR="00DF7ED8" w:rsidRPr="00C4196B" w:rsidRDefault="00000000">
      <w:pPr>
        <w:numPr>
          <w:ilvl w:val="0"/>
          <w:numId w:val="3"/>
        </w:numPr>
        <w:shd w:val="clear" w:color="auto" w:fill="FFFFFF"/>
        <w:spacing w:after="240"/>
      </w:pPr>
      <w:r>
        <w:t>Manual end-of-life messaging: The end-of-life notification flow is run ad-hoc by IT against an Intune-derived user list — there is no scheduled, repeatable trigger and no record of when notifications were sent or to whom.</w:t>
      </w:r>
    </w:p>
    <w:p w14:paraId="421C8A15" w14:textId="77777777" w:rsidR="00C4196B" w:rsidRDefault="00C4196B" w:rsidP="00C4196B">
      <w:pPr>
        <w:numPr>
          <w:ilvl w:val="0"/>
          <w:numId w:val="3"/>
        </w:numPr>
        <w:shd w:val="clear" w:color="auto" w:fill="FFFFFF"/>
        <w:spacing w:after="240"/>
      </w:pPr>
      <w:r>
        <w:t>Bespoke reporting: Status reports for admins do not exist as a first-class artefact; each report is reconstructed from SharePoint + email when asked for.</w:t>
      </w:r>
    </w:p>
    <w:p w14:paraId="7DAC0149" w14:textId="64FFDE05" w:rsidR="00C4196B" w:rsidRPr="003C3E6D" w:rsidRDefault="00C4196B" w:rsidP="00C4196B">
      <w:pPr>
        <w:numPr>
          <w:ilvl w:val="0"/>
          <w:numId w:val="3"/>
        </w:numPr>
        <w:shd w:val="clear" w:color="auto" w:fill="FFFFFF"/>
        <w:spacing w:after="240"/>
      </w:pPr>
      <w:r>
        <w:lastRenderedPageBreak/>
        <w:t>Two-form confusion: Requesters frequently submit on the wrong form (licensed vs non-</w:t>
      </w:r>
      <w:r w:rsidRPr="003C3E6D">
        <w:t>licensed), which forces manual re-routing and extends time-to-decision.</w:t>
      </w:r>
    </w:p>
    <w:p w14:paraId="64660C64" w14:textId="51DE9445" w:rsidR="00BF1E12" w:rsidRPr="003C3E6D" w:rsidRDefault="00565627" w:rsidP="003C3E6D">
      <w:pPr>
        <w:pStyle w:val="ListParagraph"/>
        <w:numPr>
          <w:ilvl w:val="0"/>
          <w:numId w:val="3"/>
        </w:numPr>
        <w:shd w:val="clear" w:color="auto" w:fill="FFFFFF"/>
        <w:spacing w:after="240"/>
        <w:rPr>
          <w:highlight w:val="yellow"/>
        </w:rPr>
      </w:pPr>
      <w:r w:rsidRPr="003C3E6D">
        <w:t>Unstructured</w:t>
      </w:r>
      <w:r>
        <w:t xml:space="preserve"> license-grant detail: Where a license is granted, the detail (key, seat allocation, vendor portal reference) is captured in free-form approval emails — not searchable, not joinable with the request record.</w:t>
      </w:r>
    </w:p>
    <w:p w14:paraId="07C3393E" w14:textId="77777777" w:rsidR="00DF7ED8" w:rsidRDefault="00000000">
      <w:r>
        <w:t>No formal CI/CD: Configuration changes to the existing flows and forms are made directly in the Power Automate / SharePoint UI in Production, with no source control, no automated test, and no gated promotion path.</w:t>
      </w:r>
    </w:p>
    <w:p w14:paraId="07C3393F" w14:textId="77777777" w:rsidR="00DF7ED8" w:rsidRDefault="00000000">
      <w:pPr>
        <w:pStyle w:val="Heading2"/>
        <w:keepNext w:val="0"/>
        <w:keepLines w:val="0"/>
        <w:pBdr>
          <w:bottom w:val="none" w:sz="0" w:space="5" w:color="auto"/>
        </w:pBdr>
        <w:shd w:val="clear" w:color="auto" w:fill="FFFFFF"/>
        <w:spacing w:after="240" w:line="300" w:lineRule="auto"/>
        <w:rPr>
          <w:color w:val="1F2328"/>
          <w:sz w:val="54"/>
          <w:szCs w:val="54"/>
        </w:rPr>
      </w:pPr>
      <w:bookmarkStart w:id="7" w:name="_5gwy2meqnz5s" w:colFirst="0" w:colLast="0"/>
      <w:bookmarkEnd w:id="7"/>
      <w:r>
        <w:rPr>
          <w:color w:val="1F2328"/>
          <w:sz w:val="54"/>
          <w:szCs w:val="54"/>
        </w:rPr>
        <w:t>3. Business &amp; Technical Requirements Document (BRD/TRD)</w:t>
      </w:r>
    </w:p>
    <w:p w14:paraId="07C33940" w14:textId="77777777" w:rsidR="00DF7ED8" w:rsidRDefault="00000000">
      <w:pPr>
        <w:shd w:val="clear" w:color="auto" w:fill="FFFFFF"/>
        <w:spacing w:after="240"/>
        <w:rPr>
          <w:color w:val="1F2328"/>
          <w:sz w:val="24"/>
          <w:szCs w:val="24"/>
        </w:rPr>
      </w:pPr>
      <w:r>
        <w:t>Based on the pain points identified above and the target state of a single, auditable, maintainable intake for software requests, the following requirements must be met by the next iteration of the platform — delivered as a Power Apps Code App backed by Dataverse and Power Automate, with a formal Azure DevOps CI/CD pipeline for the platform itself.</w:t>
      </w:r>
    </w:p>
    <w:p w14:paraId="07C33941"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8" w:name="_oup34tcq3092" w:colFirst="0" w:colLast="0"/>
      <w:bookmarkEnd w:id="8"/>
      <w:r>
        <w:rPr>
          <w:color w:val="1F2328"/>
          <w:sz w:val="35"/>
          <w:szCs w:val="35"/>
        </w:rPr>
        <w:t>3.1 Functional Requirements (FR)</w:t>
      </w:r>
    </w:p>
    <w:tbl>
      <w:tblPr>
        <w:tblStyle w:val="a"/>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400"/>
        <w:gridCol w:w="5820"/>
      </w:tblGrid>
      <w:tr w:rsidR="00DF7ED8" w14:paraId="07C33945" w14:textId="77777777">
        <w:trPr>
          <w:trHeight w:val="76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2" w14:textId="77777777" w:rsidR="00DF7ED8" w:rsidRDefault="00000000">
            <w:pPr>
              <w:spacing w:after="240"/>
              <w:jc w:val="center"/>
              <w:rPr>
                <w:color w:val="1F2328"/>
                <w:sz w:val="24"/>
                <w:szCs w:val="24"/>
                <w:highlight w:val="white"/>
              </w:rPr>
            </w:pPr>
            <w:r>
              <w:t>Req ID</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3" w14:textId="77777777" w:rsidR="00DF7ED8" w:rsidRDefault="00000000">
            <w:pPr>
              <w:spacing w:after="240"/>
              <w:jc w:val="center"/>
              <w:rPr>
                <w:color w:val="1F2328"/>
                <w:sz w:val="24"/>
                <w:szCs w:val="24"/>
                <w:highlight w:val="white"/>
              </w:rPr>
            </w:pPr>
            <w:r>
              <w:t>Category</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4" w14:textId="77777777" w:rsidR="00DF7ED8" w:rsidRDefault="00000000">
            <w:pPr>
              <w:spacing w:after="240"/>
              <w:jc w:val="center"/>
              <w:rPr>
                <w:color w:val="1F2328"/>
                <w:sz w:val="24"/>
                <w:szCs w:val="24"/>
                <w:highlight w:val="white"/>
              </w:rPr>
            </w:pPr>
            <w:r>
              <w:t>Requirement Description</w:t>
            </w:r>
          </w:p>
        </w:tc>
      </w:tr>
      <w:tr w:rsidR="00DF7ED8" w14:paraId="07C33949"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6" w14:textId="77777777" w:rsidR="00DF7ED8" w:rsidRDefault="00000000">
            <w:pPr>
              <w:spacing w:after="240"/>
              <w:rPr>
                <w:color w:val="1F2328"/>
                <w:sz w:val="24"/>
                <w:szCs w:val="24"/>
                <w:highlight w:val="white"/>
              </w:rPr>
            </w:pPr>
            <w:r>
              <w:t>FR-01</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7" w14:textId="77777777" w:rsidR="00DF7ED8" w:rsidRDefault="00000000">
            <w:pPr>
              <w:spacing w:after="240"/>
              <w:rPr>
                <w:color w:val="1F2328"/>
                <w:sz w:val="24"/>
                <w:szCs w:val="24"/>
                <w:highlight w:val="white"/>
              </w:rPr>
            </w:pPr>
            <w:r>
              <w:t>Identity</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48" w14:textId="77777777" w:rsidR="00DF7ED8" w:rsidRDefault="00000000">
            <w:pPr>
              <w:spacing w:after="240"/>
              <w:rPr>
                <w:color w:val="1F2328"/>
                <w:sz w:val="24"/>
                <w:szCs w:val="24"/>
                <w:highlight w:val="white"/>
              </w:rPr>
            </w:pPr>
            <w:r>
              <w:t>Authentication must be Azure Tenant SSO via Entra ID. Microsoft Graph must be used to resolve user / group membership for distinguishing requester and approver roles.</w:t>
            </w:r>
          </w:p>
        </w:tc>
      </w:tr>
      <w:tr w:rsidR="00DF7ED8" w14:paraId="548F5628"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7D24DC" w14:textId="77777777" w:rsidR="00DF7ED8" w:rsidRDefault="00000000">
            <w:pPr>
              <w:spacing w:after="240"/>
              <w:rPr>
                <w:color w:val="1F2328"/>
                <w:sz w:val="24"/>
                <w:szCs w:val="24"/>
                <w:highlight w:val="white"/>
              </w:rPr>
            </w:pPr>
            <w:r>
              <w:t>FR-02</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EFBF1F9" w14:textId="77777777" w:rsidR="00DF7ED8" w:rsidRDefault="00000000">
            <w:pPr>
              <w:spacing w:after="240"/>
              <w:rPr>
                <w:color w:val="1F2328"/>
                <w:sz w:val="24"/>
                <w:szCs w:val="24"/>
                <w:highlight w:val="white"/>
              </w:rPr>
            </w:pPr>
            <w:r>
              <w:t>Single Intake</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27EC670" w14:textId="77777777" w:rsidR="00DF7ED8" w:rsidRDefault="00000000">
            <w:pPr>
              <w:spacing w:after="240"/>
              <w:rPr>
                <w:color w:val="1F2328"/>
                <w:sz w:val="24"/>
                <w:szCs w:val="24"/>
                <w:highlight w:val="white"/>
              </w:rPr>
            </w:pPr>
            <w:r>
              <w:t>A single Power Apps Code App must replace both existing SharePoint forms (Licensed and Non-Licensed). License-type selection on the form must drive the visible fields and the downstream workflow path.</w:t>
            </w:r>
          </w:p>
        </w:tc>
      </w:tr>
      <w:tr w:rsidR="00DF7ED8" w14:paraId="7C113DE5"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9E92177" w14:textId="77777777" w:rsidR="00DF7ED8" w:rsidRDefault="00000000">
            <w:pPr>
              <w:spacing w:after="240"/>
              <w:rPr>
                <w:color w:val="1F2328"/>
                <w:sz w:val="24"/>
                <w:szCs w:val="24"/>
                <w:highlight w:val="white"/>
              </w:rPr>
            </w:pPr>
            <w:r>
              <w:lastRenderedPageBreak/>
              <w:t>FR-03</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FB5900C" w14:textId="77777777" w:rsidR="00DF7ED8" w:rsidRDefault="00000000">
            <w:pPr>
              <w:spacing w:after="240"/>
              <w:rPr>
                <w:color w:val="1F2328"/>
                <w:sz w:val="24"/>
                <w:szCs w:val="24"/>
                <w:highlight w:val="white"/>
              </w:rPr>
            </w:pPr>
            <w:r>
              <w:t>Requestor Form</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363F095" w14:textId="77777777" w:rsidR="00DF7ED8" w:rsidRDefault="00000000">
            <w:pPr>
              <w:spacing w:after="240"/>
              <w:rPr>
                <w:color w:val="1F2328"/>
                <w:sz w:val="24"/>
                <w:szCs w:val="24"/>
                <w:highlight w:val="white"/>
              </w:rPr>
            </w:pPr>
            <w:r>
              <w:t>The Requestor Form must provide fields for Software name, version, license type, and a combined Justification &amp; Evidence field (rich text + multi-attachment — e.g. PO screenshot, vendor quote, eProcurement link), with metadata auto-fill from designated sources (e.g. Intune, eProcurement — exact auto-fill scope to be confirmed with the client).</w:t>
            </w:r>
          </w:p>
        </w:tc>
      </w:tr>
      <w:tr w:rsidR="00DF7ED8" w14:paraId="29F59005"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C807C1E" w14:textId="77777777" w:rsidR="00DF7ED8" w:rsidRDefault="00000000">
            <w:pPr>
              <w:spacing w:after="240"/>
              <w:rPr>
                <w:color w:val="1F2328"/>
                <w:sz w:val="24"/>
                <w:szCs w:val="24"/>
                <w:highlight w:val="white"/>
              </w:rPr>
            </w:pPr>
            <w:r>
              <w:t>FR-04</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826638A" w14:textId="77777777" w:rsidR="00DF7ED8" w:rsidRDefault="00000000">
            <w:pPr>
              <w:spacing w:after="240"/>
              <w:rPr>
                <w:color w:val="1F2328"/>
                <w:sz w:val="24"/>
                <w:szCs w:val="24"/>
                <w:highlight w:val="white"/>
              </w:rPr>
            </w:pPr>
            <w:r>
              <w:t>Approver Form</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3C57A66" w14:textId="77777777" w:rsidR="00DF7ED8" w:rsidRDefault="00000000">
            <w:pPr>
              <w:spacing w:after="240"/>
              <w:rPr>
                <w:color w:val="1F2328"/>
                <w:sz w:val="24"/>
                <w:szCs w:val="24"/>
                <w:highlight w:val="white"/>
              </w:rPr>
            </w:pPr>
            <w:r>
              <w:t>The Approver Form must provide a pending queue, a decision panel (Approve / Reject / Request More Info), comments, license-grant detail capture, an audit log view, and an evidence view.</w:t>
            </w:r>
          </w:p>
        </w:tc>
      </w:tr>
      <w:tr w:rsidR="00DF7ED8" w14:paraId="0A516C3C"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A2D80C" w14:textId="77777777" w:rsidR="00DF7ED8" w:rsidRDefault="00000000">
            <w:pPr>
              <w:spacing w:after="240"/>
              <w:rPr>
                <w:color w:val="1F2328"/>
                <w:sz w:val="24"/>
                <w:szCs w:val="24"/>
                <w:highlight w:val="white"/>
              </w:rPr>
            </w:pPr>
            <w:r>
              <w:t>FR-05</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472219" w14:textId="77777777" w:rsidR="00DF7ED8" w:rsidRDefault="00000000">
            <w:pPr>
              <w:spacing w:after="240"/>
              <w:rPr>
                <w:color w:val="1F2328"/>
                <w:sz w:val="24"/>
                <w:szCs w:val="24"/>
                <w:highlight w:val="white"/>
              </w:rPr>
            </w:pPr>
            <w:r>
              <w:t>Approval Workflow</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F3D57A" w14:textId="77777777" w:rsidR="00DF7ED8" w:rsidRDefault="00000000">
            <w:pPr>
              <w:spacing w:after="240"/>
              <w:rPr>
                <w:color w:val="1F2328"/>
                <w:sz w:val="24"/>
                <w:szCs w:val="24"/>
                <w:highlight w:val="white"/>
              </w:rPr>
            </w:pPr>
            <w:r>
              <w:t>Power Automate must implement sequential approval with SLA timers, reminders, rejection paths, auto-escalation, and automatic flow back to Pending when a request awaiting more information is reopened or re-submitted.</w:t>
            </w:r>
          </w:p>
        </w:tc>
      </w:tr>
      <w:tr w:rsidR="00DF7ED8" w14:paraId="3E075334"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0B1F523" w14:textId="77777777" w:rsidR="00DF7ED8" w:rsidRDefault="00000000">
            <w:pPr>
              <w:spacing w:after="240"/>
              <w:rPr>
                <w:color w:val="1F2328"/>
                <w:sz w:val="24"/>
                <w:szCs w:val="24"/>
                <w:highlight w:val="white"/>
              </w:rPr>
            </w:pPr>
            <w:r>
              <w:t>FR-06</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6163A85" w14:textId="77777777" w:rsidR="00DF7ED8" w:rsidRDefault="00000000">
            <w:pPr>
              <w:spacing w:after="240"/>
              <w:rPr>
                <w:color w:val="1F2328"/>
                <w:sz w:val="24"/>
                <w:szCs w:val="24"/>
                <w:highlight w:val="white"/>
              </w:rPr>
            </w:pPr>
            <w:r>
              <w:t>Notifications</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DCFF56E" w14:textId="77777777" w:rsidR="00DF7ED8" w:rsidRDefault="00000000">
            <w:pPr>
              <w:spacing w:after="240"/>
              <w:rPr>
                <w:color w:val="1F2328"/>
                <w:sz w:val="24"/>
                <w:szCs w:val="24"/>
                <w:highlight w:val="white"/>
              </w:rPr>
            </w:pPr>
            <w:r>
              <w:t>The platform must send automated Email + Teams notifications for: submission, approval (carrying the license-grant detail to the user), rejection, more-info requests, installed, install-failed, pending-action reminders, and escalations.</w:t>
            </w:r>
          </w:p>
        </w:tc>
      </w:tr>
      <w:tr w:rsidR="00DF7ED8" w14:paraId="72364559"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A0FCE5A" w14:textId="77777777" w:rsidR="00DF7ED8" w:rsidRDefault="00000000">
            <w:pPr>
              <w:spacing w:after="240"/>
              <w:rPr>
                <w:color w:val="1F2328"/>
                <w:sz w:val="24"/>
                <w:szCs w:val="24"/>
                <w:highlight w:val="white"/>
              </w:rPr>
            </w:pPr>
            <w:r>
              <w:t>FR-07</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6C3215" w14:textId="77777777" w:rsidR="00DF7ED8" w:rsidRDefault="00000000">
            <w:pPr>
              <w:spacing w:after="240"/>
              <w:rPr>
                <w:color w:val="1F2328"/>
                <w:sz w:val="24"/>
                <w:szCs w:val="24"/>
                <w:highlight w:val="white"/>
              </w:rPr>
            </w:pPr>
            <w:r>
              <w:t>Manual Install Status</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0CA0BDF" w14:textId="77777777" w:rsidR="00DF7ED8" w:rsidRDefault="00000000">
            <w:pPr>
              <w:spacing w:after="240"/>
              <w:rPr>
                <w:color w:val="1F2328"/>
                <w:sz w:val="24"/>
                <w:szCs w:val="24"/>
                <w:highlight w:val="white"/>
              </w:rPr>
            </w:pPr>
            <w:r>
              <w:t>The UI must allow authorised users to advance a request from Approved → Installed or Approved → Install failed. Every transition must be captured in the audit trail.</w:t>
            </w:r>
          </w:p>
        </w:tc>
      </w:tr>
      <w:tr w:rsidR="00DF7ED8" w14:paraId="6D4C10D5"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70F5148" w14:textId="77777777" w:rsidR="00DF7ED8" w:rsidRDefault="00000000">
            <w:pPr>
              <w:spacing w:after="240"/>
              <w:rPr>
                <w:color w:val="1F2328"/>
                <w:sz w:val="24"/>
                <w:szCs w:val="24"/>
                <w:highlight w:val="white"/>
              </w:rPr>
            </w:pPr>
            <w:r>
              <w:t>FR-08</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1AE0B01" w14:textId="77777777" w:rsidR="00DF7ED8" w:rsidRDefault="00000000">
            <w:pPr>
              <w:spacing w:after="240"/>
              <w:rPr>
                <w:color w:val="1F2328"/>
                <w:sz w:val="24"/>
                <w:szCs w:val="24"/>
                <w:highlight w:val="white"/>
              </w:rPr>
            </w:pPr>
            <w:r>
              <w:t>Data Layer</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CE8E2A7" w14:textId="77777777" w:rsidR="00DF7ED8" w:rsidRDefault="00000000">
            <w:pPr>
              <w:spacing w:after="240"/>
              <w:rPr>
                <w:color w:val="1F2328"/>
                <w:sz w:val="24"/>
                <w:szCs w:val="24"/>
                <w:highlight w:val="white"/>
              </w:rPr>
            </w:pPr>
            <w:r>
              <w:t>Dataverse must hold the schema for Requests, Software catalog, Messages, Approvals (including license-grant detail), Workflow States and Audit Logs as the single system of record for the request lifecycle.</w:t>
            </w:r>
          </w:p>
        </w:tc>
      </w:tr>
      <w:tr w:rsidR="00DF7ED8" w14:paraId="65A0D4CA"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A2EB85D" w14:textId="77777777" w:rsidR="00DF7ED8" w:rsidRDefault="00000000">
            <w:pPr>
              <w:spacing w:after="240"/>
              <w:rPr>
                <w:color w:val="1F2328"/>
                <w:sz w:val="24"/>
                <w:szCs w:val="24"/>
                <w:highlight w:val="white"/>
              </w:rPr>
            </w:pPr>
            <w:r>
              <w:t>FR-09</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637A5D" w14:textId="77777777" w:rsidR="00DF7ED8" w:rsidRDefault="00000000">
            <w:pPr>
              <w:spacing w:after="240"/>
              <w:rPr>
                <w:color w:val="1F2328"/>
                <w:sz w:val="24"/>
                <w:szCs w:val="24"/>
                <w:highlight w:val="white"/>
              </w:rPr>
            </w:pPr>
            <w:r>
              <w:t>Audit Trail</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C5A0C90" w14:textId="77777777" w:rsidR="00DF7ED8" w:rsidRDefault="00000000">
            <w:pPr>
              <w:spacing w:after="240"/>
              <w:rPr>
                <w:color w:val="1F2328"/>
                <w:sz w:val="24"/>
                <w:szCs w:val="24"/>
                <w:highlight w:val="white"/>
              </w:rPr>
            </w:pPr>
            <w:r>
              <w:t>The system must produce a per-request timestamped log of every workflow action stored in Dataverse, with Dataverse system auditing enabled on the core tables as a back-stop.</w:t>
            </w:r>
          </w:p>
        </w:tc>
      </w:tr>
      <w:tr w:rsidR="00DF7ED8" w14:paraId="77867FEF"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103979" w14:textId="77777777" w:rsidR="00DF7ED8" w:rsidRDefault="00000000">
            <w:pPr>
              <w:spacing w:after="240"/>
              <w:rPr>
                <w:color w:val="1F2328"/>
                <w:sz w:val="24"/>
                <w:szCs w:val="24"/>
                <w:highlight w:val="white"/>
              </w:rPr>
            </w:pPr>
            <w:r>
              <w:lastRenderedPageBreak/>
              <w:t>FR-10</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779CCF9" w14:textId="77777777" w:rsidR="00DF7ED8" w:rsidRDefault="00000000">
            <w:pPr>
              <w:spacing w:after="240"/>
              <w:rPr>
                <w:color w:val="1F2328"/>
                <w:sz w:val="24"/>
                <w:szCs w:val="24"/>
                <w:highlight w:val="white"/>
              </w:rPr>
            </w:pPr>
            <w:r>
              <w:t>End-of-Life Notifications</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B92328" w14:textId="77777777" w:rsidR="00DF7ED8" w:rsidRDefault="00000000">
            <w:pPr>
              <w:spacing w:after="240"/>
              <w:rPr>
                <w:color w:val="1F2328"/>
                <w:sz w:val="24"/>
                <w:szCs w:val="24"/>
                <w:highlight w:val="white"/>
              </w:rPr>
            </w:pPr>
            <w:r>
              <w:t>When a software entry is marked end-of-life, the platform must notify the group of users that have the application installed, using Intune-sourced membership. The trigger and the dispatch must both be recorded in the audit log.</w:t>
            </w:r>
          </w:p>
        </w:tc>
      </w:tr>
      <w:tr w:rsidR="00DF7ED8" w14:paraId="06D4261E"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DE6DBD2" w14:textId="77777777" w:rsidR="00DF7ED8" w:rsidRDefault="00000000">
            <w:pPr>
              <w:spacing w:after="240"/>
              <w:rPr>
                <w:color w:val="1F2328"/>
                <w:sz w:val="24"/>
                <w:szCs w:val="24"/>
                <w:highlight w:val="white"/>
              </w:rPr>
            </w:pPr>
            <w:r>
              <w:t>FR-11</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C8C0BFD" w14:textId="77777777" w:rsidR="00DF7ED8" w:rsidRDefault="00000000">
            <w:pPr>
              <w:spacing w:after="240"/>
              <w:rPr>
                <w:color w:val="1F2328"/>
                <w:sz w:val="24"/>
                <w:szCs w:val="24"/>
                <w:highlight w:val="white"/>
              </w:rPr>
            </w:pPr>
            <w:r>
              <w:t>Admin Reporting</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3B4B6C3" w14:textId="77777777" w:rsidR="00DF7ED8" w:rsidRDefault="00000000">
            <w:pPr>
              <w:spacing w:after="240"/>
              <w:rPr>
                <w:color w:val="1F2328"/>
                <w:sz w:val="24"/>
                <w:szCs w:val="24"/>
                <w:highlight w:val="white"/>
              </w:rPr>
            </w:pPr>
            <w:r>
              <w:t>The platform must expose an admin reporting surface (e.g. Power BI over Dataverse) covering request volume, pending queue depth, SLA breach rate, decision throughput, and end-of-life notification status.</w:t>
            </w:r>
          </w:p>
        </w:tc>
      </w:tr>
      <w:tr w:rsidR="00DF7ED8" w14:paraId="294F6FBA"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3C7071F" w14:textId="77777777" w:rsidR="00DF7ED8" w:rsidRDefault="00000000">
            <w:pPr>
              <w:spacing w:after="240"/>
              <w:rPr>
                <w:color w:val="1F2328"/>
                <w:sz w:val="24"/>
                <w:szCs w:val="24"/>
                <w:highlight w:val="white"/>
              </w:rPr>
            </w:pPr>
            <w:r>
              <w:t>FR-12</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68E8E8" w14:textId="77777777" w:rsidR="00DF7ED8" w:rsidRDefault="00000000">
            <w:pPr>
              <w:spacing w:after="240"/>
              <w:rPr>
                <w:color w:val="1F2328"/>
                <w:sz w:val="24"/>
                <w:szCs w:val="24"/>
                <w:highlight w:val="white"/>
              </w:rPr>
            </w:pPr>
            <w:r>
              <w:t>Platform CI/CD</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4BBF269" w14:textId="77777777" w:rsidR="00DF7ED8" w:rsidRDefault="00000000">
            <w:pPr>
              <w:spacing w:after="240"/>
              <w:rPr>
                <w:color w:val="1F2328"/>
                <w:sz w:val="24"/>
                <w:szCs w:val="24"/>
                <w:highlight w:val="white"/>
              </w:rPr>
            </w:pPr>
            <w:r>
              <w:t>An Azure DevOps pipeline must build and release the Code App itself — Checkout, npm ci, ESLint, tsc, unit tests, Syft SBOM, Grype vulnerability scan, vite build, and pac code push to Dev / Test / Prod. This pipeline is for the platform's own deployment, not for deploying end-user-requested software.</w:t>
            </w:r>
          </w:p>
        </w:tc>
      </w:tr>
      <w:tr w:rsidR="00DF7ED8" w14:paraId="55E3A05C"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77DF448" w14:textId="77777777" w:rsidR="00DF7ED8" w:rsidRDefault="00000000">
            <w:pPr>
              <w:spacing w:after="240"/>
              <w:rPr>
                <w:color w:val="1F2328"/>
                <w:sz w:val="24"/>
                <w:szCs w:val="24"/>
                <w:highlight w:val="white"/>
              </w:rPr>
            </w:pPr>
            <w:r>
              <w:t>FR-13</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6115375" w14:textId="77777777" w:rsidR="00DF7ED8" w:rsidRDefault="00000000">
            <w:pPr>
              <w:spacing w:after="240"/>
              <w:rPr>
                <w:color w:val="1F2328"/>
                <w:sz w:val="24"/>
                <w:szCs w:val="24"/>
                <w:highlight w:val="white"/>
              </w:rPr>
            </w:pPr>
            <w:r>
              <w:t>Unit Test Coverage</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BB9F86" w14:textId="77777777" w:rsidR="00DF7ED8" w:rsidRDefault="00000000">
            <w:pPr>
              <w:spacing w:after="240"/>
              <w:rPr>
                <w:color w:val="1F2328"/>
                <w:sz w:val="24"/>
                <w:szCs w:val="24"/>
                <w:highlight w:val="white"/>
              </w:rPr>
            </w:pPr>
            <w:r>
              <w:t>Unit test scripts must cover UI validation, workflow transitions, status transitions, and pipeline tasks, meeting the customer's defined deployment-pipeline coverage threshold.</w:t>
            </w:r>
          </w:p>
        </w:tc>
      </w:tr>
      <w:tr w:rsidR="00DF7ED8" w14:paraId="58E417C7" w14:textId="77777777">
        <w:trPr>
          <w:trHeight w:val="1335"/>
        </w:trPr>
        <w:tc>
          <w:tcPr>
            <w:tcW w:w="9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88BCA9B" w14:textId="77777777" w:rsidR="00DF7ED8" w:rsidRDefault="00000000">
            <w:pPr>
              <w:spacing w:after="240"/>
              <w:rPr>
                <w:color w:val="1F2328"/>
                <w:sz w:val="24"/>
                <w:szCs w:val="24"/>
                <w:highlight w:val="white"/>
              </w:rPr>
            </w:pPr>
            <w:r>
              <w:t>FR-14</w:t>
            </w:r>
          </w:p>
        </w:tc>
        <w:tc>
          <w:tcPr>
            <w:tcW w:w="240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5E86656" w14:textId="77777777" w:rsidR="00DF7ED8" w:rsidRDefault="00000000">
            <w:pPr>
              <w:spacing w:after="240"/>
              <w:rPr>
                <w:color w:val="1F2328"/>
                <w:sz w:val="24"/>
                <w:szCs w:val="24"/>
                <w:highlight w:val="white"/>
              </w:rPr>
            </w:pPr>
            <w:r>
              <w:t>CI Integration</w:t>
            </w:r>
          </w:p>
        </w:tc>
        <w:tc>
          <w:tcPr>
            <w:tcW w:w="582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FAADCC3" w14:textId="77777777" w:rsidR="00DF7ED8" w:rsidRDefault="00000000">
            <w:pPr>
              <w:spacing w:after="240"/>
              <w:rPr>
                <w:color w:val="1F2328"/>
                <w:sz w:val="24"/>
                <w:szCs w:val="24"/>
                <w:highlight w:val="white"/>
              </w:rPr>
            </w:pPr>
            <w:r>
              <w:t>Unit tests, SBOM generation and vulnerability scan must be integrated into the pipeline as release gates: pull requests and builds automatically validate coverage and critical-path checks; scan results gate promotion between environments.</w:t>
            </w:r>
          </w:p>
        </w:tc>
      </w:tr>
    </w:tbl>
    <w:p w14:paraId="07C33962" w14:textId="77777777" w:rsidR="00DF7ED8" w:rsidRDefault="00000000">
      <w:pPr>
        <w:pStyle w:val="Heading3"/>
        <w:keepNext w:val="0"/>
        <w:keepLines w:val="0"/>
        <w:shd w:val="clear" w:color="auto" w:fill="FFFFFF"/>
        <w:spacing w:before="360" w:after="240" w:line="300" w:lineRule="auto"/>
        <w:rPr>
          <w:color w:val="1F2328"/>
          <w:sz w:val="35"/>
          <w:szCs w:val="35"/>
        </w:rPr>
      </w:pPr>
      <w:bookmarkStart w:id="9" w:name="_jsa647l3ylyp" w:colFirst="0" w:colLast="0"/>
      <w:bookmarkEnd w:id="9"/>
      <w:r>
        <w:rPr>
          <w:color w:val="1F2328"/>
          <w:sz w:val="35"/>
          <w:szCs w:val="35"/>
        </w:rPr>
        <w:t>3.2 Non-Functional Requirements (NFR)</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2115"/>
        <w:gridCol w:w="5955"/>
      </w:tblGrid>
      <w:tr w:rsidR="00DF7ED8" w14:paraId="07C33966" w14:textId="77777777">
        <w:trPr>
          <w:trHeight w:val="76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3" w14:textId="77777777" w:rsidR="00DF7ED8" w:rsidRDefault="00000000">
            <w:pPr>
              <w:spacing w:after="240"/>
              <w:jc w:val="center"/>
              <w:rPr>
                <w:color w:val="1F2328"/>
                <w:sz w:val="24"/>
                <w:szCs w:val="24"/>
                <w:highlight w:val="white"/>
              </w:rPr>
            </w:pPr>
            <w:r>
              <w:t>Req ID</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4" w14:textId="77777777" w:rsidR="00DF7ED8" w:rsidRDefault="00000000">
            <w:pPr>
              <w:spacing w:after="240"/>
              <w:jc w:val="center"/>
              <w:rPr>
                <w:color w:val="1F2328"/>
                <w:sz w:val="24"/>
                <w:szCs w:val="24"/>
                <w:highlight w:val="white"/>
              </w:rPr>
            </w:pPr>
            <w:r>
              <w:t>Category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5" w14:textId="77777777" w:rsidR="00DF7ED8" w:rsidRDefault="00000000">
            <w:pPr>
              <w:spacing w:after="240"/>
              <w:jc w:val="center"/>
              <w:rPr>
                <w:color w:val="1F2328"/>
                <w:sz w:val="24"/>
                <w:szCs w:val="24"/>
                <w:highlight w:val="white"/>
              </w:rPr>
            </w:pPr>
            <w:r>
              <w:t>Requirement Description</w:t>
            </w:r>
          </w:p>
        </w:tc>
      </w:tr>
      <w:tr w:rsidR="00DF7ED8" w14:paraId="07C3396A"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7" w14:textId="77777777" w:rsidR="00DF7ED8" w:rsidRDefault="00000000">
            <w:pPr>
              <w:spacing w:after="240"/>
              <w:rPr>
                <w:color w:val="1F2328"/>
                <w:sz w:val="24"/>
                <w:szCs w:val="24"/>
                <w:highlight w:val="white"/>
              </w:rPr>
            </w:pPr>
            <w:r>
              <w:lastRenderedPageBreak/>
              <w:t>NFR-01</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8" w14:textId="77777777" w:rsidR="00DF7ED8" w:rsidRDefault="00000000">
            <w:pPr>
              <w:spacing w:after="240"/>
              <w:rPr>
                <w:color w:val="1F2328"/>
                <w:sz w:val="24"/>
                <w:szCs w:val="24"/>
                <w:highlight w:val="white"/>
              </w:rPr>
            </w:pPr>
            <w:r>
              <w:t>Performance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3969" w14:textId="19AEACCF" w:rsidR="00DF7ED8" w:rsidRDefault="00000000">
            <w:pPr>
              <w:spacing w:after="240"/>
              <w:rPr>
                <w:color w:val="1F2328"/>
                <w:sz w:val="24"/>
                <w:szCs w:val="24"/>
                <w:highlight w:val="white"/>
              </w:rPr>
            </w:pPr>
            <w:r>
              <w:t xml:space="preserve">Submission of a request from the Requestor form (form save + workflow trigger acknowledgment) must complete within </w:t>
            </w:r>
            <w:r w:rsidR="003C3E6D">
              <w:t>5</w:t>
            </w:r>
            <w:r>
              <w:t xml:space="preserve"> seconds under normal tenant load. The Approver pending queue must render within </w:t>
            </w:r>
            <w:r w:rsidR="003C3E6D">
              <w:t>5</w:t>
            </w:r>
            <w:r>
              <w:t xml:space="preserve"> seconds for up to 500 open requests.</w:t>
            </w:r>
          </w:p>
        </w:tc>
      </w:tr>
      <w:tr w:rsidR="00DF7ED8" w14:paraId="1DC1B1C6"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711FB5" w14:textId="77777777" w:rsidR="00DF7ED8" w:rsidRDefault="00000000">
            <w:pPr>
              <w:spacing w:after="240"/>
              <w:rPr>
                <w:color w:val="1F2328"/>
                <w:sz w:val="24"/>
                <w:szCs w:val="24"/>
                <w:highlight w:val="white"/>
              </w:rPr>
            </w:pPr>
            <w:r>
              <w:t>NFR-02</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BDA4A9B" w14:textId="77777777" w:rsidR="00DF7ED8" w:rsidRDefault="00000000">
            <w:pPr>
              <w:spacing w:after="240"/>
              <w:rPr>
                <w:color w:val="1F2328"/>
                <w:sz w:val="24"/>
                <w:szCs w:val="24"/>
                <w:highlight w:val="white"/>
              </w:rPr>
            </w:pPr>
            <w:r>
              <w:t>Scalability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06CECB4" w14:textId="77777777" w:rsidR="00DF7ED8" w:rsidRDefault="00000000">
            <w:pPr>
              <w:spacing w:after="240"/>
              <w:rPr>
                <w:color w:val="1F2328"/>
                <w:sz w:val="24"/>
                <w:szCs w:val="24"/>
                <w:highlight w:val="white"/>
              </w:rPr>
            </w:pPr>
            <w:r>
              <w:t>The Dataverse schema and Power Automate flows must support the customer's expected request volume (target volume to be confirmed during Solution Design) without changes to the workflow design.</w:t>
            </w:r>
          </w:p>
        </w:tc>
      </w:tr>
      <w:tr w:rsidR="00DF7ED8" w14:paraId="487ECFF9"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ACDC07D" w14:textId="77777777" w:rsidR="00DF7ED8" w:rsidRDefault="00000000">
            <w:pPr>
              <w:spacing w:after="240"/>
              <w:rPr>
                <w:color w:val="1F2328"/>
                <w:sz w:val="24"/>
                <w:szCs w:val="24"/>
                <w:highlight w:val="white"/>
              </w:rPr>
            </w:pPr>
            <w:r>
              <w:t>NFR-03</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25E40CB" w14:textId="77777777" w:rsidR="00DF7ED8" w:rsidRDefault="00000000">
            <w:pPr>
              <w:spacing w:after="240"/>
              <w:rPr>
                <w:color w:val="1F2328"/>
                <w:sz w:val="24"/>
                <w:szCs w:val="24"/>
                <w:highlight w:val="white"/>
              </w:rPr>
            </w:pPr>
            <w:r>
              <w:t>Availability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4E88D3A" w14:textId="77777777" w:rsidR="00DF7ED8" w:rsidRDefault="00000000">
            <w:pPr>
              <w:spacing w:after="240"/>
              <w:rPr>
                <w:color w:val="1F2328"/>
                <w:sz w:val="24"/>
                <w:szCs w:val="24"/>
                <w:highlight w:val="white"/>
              </w:rPr>
            </w:pPr>
            <w:r>
              <w:t>The platform inherits the availability SLA of the underlying Microsoft Power Platform services. No additional uptime guarantee is introduced by the application layer.</w:t>
            </w:r>
          </w:p>
        </w:tc>
      </w:tr>
      <w:tr w:rsidR="00DF7ED8" w14:paraId="456C7154"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3FD5E7F" w14:textId="77777777" w:rsidR="00DF7ED8" w:rsidRDefault="00000000">
            <w:pPr>
              <w:spacing w:after="240"/>
              <w:rPr>
                <w:color w:val="1F2328"/>
                <w:sz w:val="24"/>
                <w:szCs w:val="24"/>
                <w:highlight w:val="white"/>
              </w:rPr>
            </w:pPr>
            <w:r>
              <w:t>NFR-04</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A1EFC36" w14:textId="77777777" w:rsidR="00DF7ED8" w:rsidRDefault="00000000">
            <w:pPr>
              <w:spacing w:after="240"/>
              <w:rPr>
                <w:color w:val="1F2328"/>
                <w:sz w:val="24"/>
                <w:szCs w:val="24"/>
                <w:highlight w:val="white"/>
              </w:rPr>
            </w:pPr>
            <w:r>
              <w:t>Security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BE87CC" w14:textId="77777777" w:rsidR="00DF7ED8" w:rsidRDefault="00000000">
            <w:pPr>
              <w:spacing w:after="240"/>
              <w:rPr>
                <w:color w:val="1F2328"/>
                <w:sz w:val="24"/>
                <w:szCs w:val="24"/>
                <w:highlight w:val="white"/>
              </w:rPr>
            </w:pPr>
            <w:r>
              <w:t>All access is gated by Entra SSO + Entra security group membership + Dataverse custom security role. There are no local accounts. License-grant detail (which may include vendor keys) is protected by Dataverse row-level security on the Approvals table.</w:t>
            </w:r>
          </w:p>
        </w:tc>
      </w:tr>
      <w:tr w:rsidR="00DF7ED8" w14:paraId="2083D727"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4483A5" w14:textId="77777777" w:rsidR="00DF7ED8" w:rsidRDefault="00000000">
            <w:pPr>
              <w:spacing w:after="240"/>
              <w:rPr>
                <w:color w:val="1F2328"/>
                <w:sz w:val="24"/>
                <w:szCs w:val="24"/>
                <w:highlight w:val="white"/>
              </w:rPr>
            </w:pPr>
            <w:r>
              <w:t>NFR-05</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B7B52DF" w14:textId="77777777" w:rsidR="00DF7ED8" w:rsidRDefault="00000000">
            <w:pPr>
              <w:spacing w:after="240"/>
              <w:rPr>
                <w:color w:val="1F2328"/>
                <w:sz w:val="24"/>
                <w:szCs w:val="24"/>
                <w:highlight w:val="white"/>
              </w:rPr>
            </w:pPr>
            <w:r>
              <w:t>Data Residency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526E749" w14:textId="77777777" w:rsidR="00DF7ED8" w:rsidRDefault="00000000">
            <w:pPr>
              <w:spacing w:after="240"/>
              <w:rPr>
                <w:color w:val="1F2328"/>
                <w:sz w:val="24"/>
                <w:szCs w:val="24"/>
                <w:highlight w:val="white"/>
              </w:rPr>
            </w:pPr>
            <w:r>
              <w:t>Dataverse environments must be provisioned in the region that matches the customer's data-residency requirements. The region is to be confirmed during Solution Design.</w:t>
            </w:r>
          </w:p>
        </w:tc>
      </w:tr>
      <w:tr w:rsidR="00DF7ED8" w14:paraId="50AECE4C"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CE1C1C4" w14:textId="77777777" w:rsidR="00DF7ED8" w:rsidRDefault="00000000">
            <w:pPr>
              <w:spacing w:after="240"/>
              <w:rPr>
                <w:color w:val="1F2328"/>
                <w:sz w:val="24"/>
                <w:szCs w:val="24"/>
                <w:highlight w:val="white"/>
              </w:rPr>
            </w:pPr>
            <w:r>
              <w:t>NFR-06</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BD36ACB" w14:textId="77777777" w:rsidR="00DF7ED8" w:rsidRDefault="00000000">
            <w:pPr>
              <w:spacing w:after="240"/>
              <w:rPr>
                <w:color w:val="1F2328"/>
                <w:sz w:val="24"/>
                <w:szCs w:val="24"/>
                <w:highlight w:val="white"/>
              </w:rPr>
            </w:pPr>
            <w:r>
              <w:t>Auditability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8B4F1D7" w14:textId="77777777" w:rsidR="00DF7ED8" w:rsidRDefault="00000000">
            <w:pPr>
              <w:spacing w:after="240"/>
              <w:rPr>
                <w:color w:val="1F2328"/>
                <w:sz w:val="24"/>
                <w:szCs w:val="24"/>
                <w:highlight w:val="white"/>
              </w:rPr>
            </w:pPr>
            <w:r>
              <w:t>Every workflow action, status change, message and notification dispatch must be reconstructable from Dataverse (Audit Log + system auditing). Audit records must be retained for a minimum of 12 months.</w:t>
            </w:r>
          </w:p>
        </w:tc>
      </w:tr>
      <w:tr w:rsidR="00DF7ED8" w14:paraId="287771AE"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D2D29ED" w14:textId="77777777" w:rsidR="00DF7ED8" w:rsidRDefault="00000000">
            <w:pPr>
              <w:spacing w:after="240"/>
              <w:rPr>
                <w:color w:val="1F2328"/>
                <w:sz w:val="24"/>
                <w:szCs w:val="24"/>
                <w:highlight w:val="white"/>
              </w:rPr>
            </w:pPr>
            <w:r>
              <w:t>NFR-07</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8AE4DA7" w14:textId="77777777" w:rsidR="00DF7ED8" w:rsidRDefault="00000000">
            <w:pPr>
              <w:spacing w:after="240"/>
              <w:rPr>
                <w:color w:val="1F2328"/>
                <w:sz w:val="24"/>
                <w:szCs w:val="24"/>
                <w:highlight w:val="white"/>
              </w:rPr>
            </w:pPr>
            <w:r>
              <w:t>Maintainability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E5D05E" w14:textId="77777777" w:rsidR="00DF7ED8" w:rsidRDefault="00000000">
            <w:pPr>
              <w:spacing w:after="240"/>
              <w:rPr>
                <w:color w:val="1F2328"/>
                <w:sz w:val="24"/>
                <w:szCs w:val="24"/>
                <w:highlight w:val="white"/>
              </w:rPr>
            </w:pPr>
            <w:r>
              <w:t>All workflow logic must live in Power Automate flows wired against the Dataverse schema — not in form-embedded conditionals or hard-coded approver lists. Adding an approver, changing an SLA, or adding a software category must be a configuration change, not a code change.</w:t>
            </w:r>
          </w:p>
        </w:tc>
      </w:tr>
      <w:tr w:rsidR="00DF7ED8" w14:paraId="0281E7D9"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50D749" w14:textId="77777777" w:rsidR="00DF7ED8" w:rsidRDefault="00000000">
            <w:pPr>
              <w:spacing w:after="240"/>
              <w:rPr>
                <w:color w:val="1F2328"/>
                <w:sz w:val="24"/>
                <w:szCs w:val="24"/>
                <w:highlight w:val="white"/>
              </w:rPr>
            </w:pPr>
            <w:r>
              <w:lastRenderedPageBreak/>
              <w:t>NFR-08</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D5FD266" w14:textId="77777777" w:rsidR="00DF7ED8" w:rsidRDefault="00000000">
            <w:pPr>
              <w:spacing w:after="240"/>
              <w:rPr>
                <w:color w:val="1F2328"/>
                <w:sz w:val="24"/>
                <w:szCs w:val="24"/>
                <w:highlight w:val="white"/>
              </w:rPr>
            </w:pPr>
            <w:r>
              <w:t>Compatibility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0178CD0" w14:textId="77777777" w:rsidR="00DF7ED8" w:rsidRDefault="00000000">
            <w:pPr>
              <w:spacing w:after="240"/>
              <w:rPr>
                <w:color w:val="1F2328"/>
                <w:sz w:val="24"/>
                <w:szCs w:val="24"/>
                <w:highlight w:val="white"/>
              </w:rPr>
            </w:pPr>
            <w:r>
              <w:t>The Code App must run in supported Microsoft Edge and Google Chrome browsers on the customer's standard Windows 11 and Windows 10 endpoints. Mobile and tablet rendering is best-effort and not certified.</w:t>
            </w:r>
          </w:p>
        </w:tc>
      </w:tr>
      <w:tr w:rsidR="00DF7ED8" w14:paraId="33E896E5"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A832F8" w14:textId="77777777" w:rsidR="00DF7ED8" w:rsidRDefault="00000000">
            <w:pPr>
              <w:spacing w:after="240"/>
              <w:rPr>
                <w:color w:val="1F2328"/>
                <w:sz w:val="24"/>
                <w:szCs w:val="24"/>
                <w:highlight w:val="white"/>
              </w:rPr>
            </w:pPr>
            <w:r>
              <w:t>NFR-09</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BB82458" w14:textId="77777777" w:rsidR="00DF7ED8" w:rsidRDefault="00000000">
            <w:pPr>
              <w:spacing w:after="240"/>
              <w:rPr>
                <w:color w:val="1F2328"/>
                <w:sz w:val="24"/>
                <w:szCs w:val="24"/>
                <w:highlight w:val="white"/>
              </w:rPr>
            </w:pPr>
            <w:r>
              <w:t>DLP Compliance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257230E" w14:textId="77777777" w:rsidR="00DF7ED8" w:rsidRDefault="00000000">
            <w:pPr>
              <w:spacing w:after="240"/>
              <w:rPr>
                <w:color w:val="1F2328"/>
                <w:sz w:val="24"/>
                <w:szCs w:val="24"/>
                <w:highlight w:val="white"/>
              </w:rPr>
            </w:pPr>
            <w:r>
              <w:t>The Dataverse connector and any other Power Platform connectors used must be on the customer's Power Platform DLP allow-list. Connector additions require Power Platform admin sign-off.</w:t>
            </w:r>
          </w:p>
        </w:tc>
      </w:tr>
      <w:tr w:rsidR="00DF7ED8" w14:paraId="76329454"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CF19B9D" w14:textId="77777777" w:rsidR="00DF7ED8" w:rsidRDefault="00000000">
            <w:pPr>
              <w:spacing w:after="240"/>
              <w:rPr>
                <w:color w:val="1F2328"/>
                <w:sz w:val="24"/>
                <w:szCs w:val="24"/>
                <w:highlight w:val="white"/>
              </w:rPr>
            </w:pPr>
            <w:r>
              <w:t>NFR-10</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BEBE0BA" w14:textId="77777777" w:rsidR="00DF7ED8" w:rsidRDefault="00000000">
            <w:pPr>
              <w:spacing w:after="240"/>
              <w:rPr>
                <w:color w:val="1F2328"/>
                <w:sz w:val="24"/>
                <w:szCs w:val="24"/>
                <w:highlight w:val="white"/>
              </w:rPr>
            </w:pPr>
            <w:r>
              <w:t>Code Quality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31921CE" w14:textId="77777777" w:rsidR="00DF7ED8" w:rsidRDefault="00000000">
            <w:pPr>
              <w:spacing w:after="240"/>
              <w:rPr>
                <w:color w:val="1F2328"/>
                <w:sz w:val="24"/>
                <w:szCs w:val="24"/>
                <w:highlight w:val="white"/>
              </w:rPr>
            </w:pPr>
            <w:r>
              <w:t>The Code App must be developed in TypeScript strict mode with no any-typed values. All Dataverse access must go through the generated SDK service layer (src/generated/) with no raw fetch calls.</w:t>
            </w:r>
          </w:p>
        </w:tc>
      </w:tr>
    </w:tbl>
    <w:p w14:paraId="07C3397F" w14:textId="77777777" w:rsidR="00DF7ED8" w:rsidRDefault="00DF7ED8"/>
    <w:p w14:paraId="0D715913" w14:textId="77777777" w:rsidR="00DF7ED8" w:rsidRDefault="00000000">
      <w:pPr>
        <w:pStyle w:val="Heading3"/>
      </w:pPr>
      <w:r>
        <w:t>3.3 Project Requirements (PR)</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2115"/>
        <w:gridCol w:w="5955"/>
      </w:tblGrid>
      <w:tr w:rsidR="00DF7ED8" w14:paraId="0B11130D" w14:textId="77777777">
        <w:trPr>
          <w:trHeight w:val="76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072F05D" w14:textId="77777777" w:rsidR="00DF7ED8" w:rsidRDefault="00000000">
            <w:pPr>
              <w:spacing w:after="240"/>
              <w:jc w:val="center"/>
              <w:rPr>
                <w:color w:val="1F2328"/>
                <w:sz w:val="24"/>
                <w:szCs w:val="24"/>
                <w:highlight w:val="white"/>
              </w:rPr>
            </w:pPr>
            <w:r>
              <w:t>Req ID</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47BFE0B" w14:textId="77777777" w:rsidR="00DF7ED8" w:rsidRDefault="00000000">
            <w:pPr>
              <w:spacing w:after="240"/>
              <w:jc w:val="center"/>
              <w:rPr>
                <w:color w:val="1F2328"/>
                <w:sz w:val="24"/>
                <w:szCs w:val="24"/>
                <w:highlight w:val="white"/>
              </w:rPr>
            </w:pPr>
            <w:r>
              <w:t>Category</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3CDD92C" w14:textId="77777777" w:rsidR="00DF7ED8" w:rsidRDefault="00000000">
            <w:pPr>
              <w:spacing w:after="240"/>
              <w:jc w:val="center"/>
              <w:rPr>
                <w:color w:val="1F2328"/>
                <w:sz w:val="24"/>
                <w:szCs w:val="24"/>
                <w:highlight w:val="white"/>
              </w:rPr>
            </w:pPr>
            <w:r>
              <w:t>Requirement Description</w:t>
            </w:r>
          </w:p>
        </w:tc>
      </w:tr>
      <w:tr w:rsidR="00DF7ED8" w14:paraId="44A8B1FC"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91497B1" w14:textId="77777777" w:rsidR="00DF7ED8" w:rsidRDefault="00000000">
            <w:pPr>
              <w:spacing w:after="240"/>
              <w:rPr>
                <w:color w:val="1F2328"/>
                <w:sz w:val="24"/>
                <w:szCs w:val="24"/>
                <w:highlight w:val="white"/>
              </w:rPr>
            </w:pPr>
            <w:r>
              <w:t>PR-01</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60C1D19" w14:textId="77777777" w:rsidR="00DF7ED8" w:rsidRDefault="00000000">
            <w:pPr>
              <w:spacing w:after="240"/>
              <w:rPr>
                <w:color w:val="1F2328"/>
                <w:sz w:val="24"/>
                <w:szCs w:val="24"/>
                <w:highlight w:val="white"/>
              </w:rPr>
            </w:pPr>
            <w:r>
              <w:t>Solution Design Deliverable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9C4F99B" w14:textId="77777777" w:rsidR="00DF7ED8" w:rsidRDefault="00000000">
            <w:pPr>
              <w:spacing w:after="240"/>
              <w:rPr>
                <w:color w:val="1F2328"/>
                <w:sz w:val="24"/>
                <w:szCs w:val="24"/>
                <w:highlight w:val="white"/>
              </w:rPr>
            </w:pPr>
            <w:r>
              <w:t>A Design Document (Word format, with diagrams where applicable) covering High Level Architecture, Low Level Design (UI / UX journey for Requestor and Approver), Dataverse Data Schema, Solution Governance (audit trail structure, logging standards, traceability, exception-handling rules) and ALM environment topology (Dev / Test / Prod, artefact retention). Reviewed and signed off by Customer before Build begins.</w:t>
            </w:r>
          </w:p>
        </w:tc>
      </w:tr>
      <w:tr w:rsidR="00DF7ED8" w14:paraId="614510D3"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6C0E1FF" w14:textId="77777777" w:rsidR="00DF7ED8" w:rsidRDefault="00000000">
            <w:pPr>
              <w:spacing w:after="240"/>
              <w:rPr>
                <w:color w:val="1F2328"/>
                <w:sz w:val="24"/>
                <w:szCs w:val="24"/>
                <w:highlight w:val="white"/>
              </w:rPr>
            </w:pPr>
            <w:r>
              <w:t>PR-02</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0AAB820" w14:textId="77777777" w:rsidR="00DF7ED8" w:rsidRDefault="00000000">
            <w:pPr>
              <w:spacing w:after="240"/>
              <w:rPr>
                <w:color w:val="1F2328"/>
                <w:sz w:val="24"/>
                <w:szCs w:val="24"/>
                <w:highlight w:val="white"/>
              </w:rPr>
            </w:pPr>
            <w:r>
              <w:t>Build Deliverable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06657DA" w14:textId="77777777" w:rsidR="00DF7ED8" w:rsidRDefault="00000000">
            <w:pPr>
              <w:spacing w:after="240"/>
              <w:rPr>
                <w:color w:val="1F2328"/>
                <w:sz w:val="24"/>
                <w:szCs w:val="24"/>
                <w:highlight w:val="white"/>
              </w:rPr>
            </w:pPr>
            <w:r>
              <w:t>Core build and automation deployed to the Testing Environment with Customer's approval before Acceptance Testing begins. Includes Requestor and Approver forms, Dataverse implementation, Power Automate workflows, ADO pipeline configuration, unit tests and bug fixes from internal QA.</w:t>
            </w:r>
          </w:p>
        </w:tc>
      </w:tr>
      <w:tr w:rsidR="00DF7ED8" w14:paraId="67219935"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1A350B2" w14:textId="77777777" w:rsidR="00DF7ED8" w:rsidRDefault="00000000">
            <w:pPr>
              <w:spacing w:after="240"/>
              <w:rPr>
                <w:color w:val="1F2328"/>
                <w:sz w:val="24"/>
                <w:szCs w:val="24"/>
                <w:highlight w:val="white"/>
              </w:rPr>
            </w:pPr>
            <w:r>
              <w:lastRenderedPageBreak/>
              <w:t>PR-03</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15B9D52" w14:textId="77777777" w:rsidR="00DF7ED8" w:rsidRDefault="00000000">
            <w:pPr>
              <w:spacing w:after="240"/>
              <w:rPr>
                <w:color w:val="1F2328"/>
                <w:sz w:val="24"/>
                <w:szCs w:val="24"/>
                <w:highlight w:val="white"/>
              </w:rPr>
            </w:pPr>
            <w:r>
              <w:t>Acceptance Testing Deliverable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2AF38C5" w14:textId="77777777" w:rsidR="00DF7ED8" w:rsidRDefault="00000000">
            <w:pPr>
              <w:spacing w:after="240"/>
              <w:rPr>
                <w:color w:val="1F2328"/>
                <w:sz w:val="24"/>
                <w:szCs w:val="24"/>
                <w:highlight w:val="white"/>
              </w:rPr>
            </w:pPr>
            <w:r>
              <w:t>Test Conditions &amp; Cases Document (Functional Acceptance Tests) and Test Summary Report, both reviewed and signed off by Customer. Covers functional, workflow, edge case, negative path and pipeline execution tests, including logging &amp; monitoring validation.</w:t>
            </w:r>
          </w:p>
        </w:tc>
      </w:tr>
      <w:tr w:rsidR="00DF7ED8" w14:paraId="5572D8F9"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FF7693" w14:textId="77777777" w:rsidR="00DF7ED8" w:rsidRDefault="00000000">
            <w:pPr>
              <w:spacing w:after="240"/>
              <w:rPr>
                <w:color w:val="1F2328"/>
                <w:sz w:val="24"/>
                <w:szCs w:val="24"/>
                <w:highlight w:val="white"/>
              </w:rPr>
            </w:pPr>
            <w:r>
              <w:t>PR-04</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974A397" w14:textId="77777777" w:rsidR="00DF7ED8" w:rsidRDefault="00000000">
            <w:pPr>
              <w:spacing w:after="240"/>
              <w:rPr>
                <w:color w:val="1F2328"/>
                <w:sz w:val="24"/>
                <w:szCs w:val="24"/>
                <w:highlight w:val="white"/>
              </w:rPr>
            </w:pPr>
            <w:r>
              <w:t>Documentation Deliverable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AB4CEEC" w14:textId="77777777" w:rsidR="00DF7ED8" w:rsidRDefault="00000000">
            <w:pPr>
              <w:spacing w:after="240"/>
              <w:rPr>
                <w:color w:val="1F2328"/>
                <w:sz w:val="24"/>
                <w:szCs w:val="24"/>
                <w:highlight w:val="white"/>
              </w:rPr>
            </w:pPr>
            <w:r>
              <w:t>User Manual, Operational Runbook (workflow diagrams, pipeline stage definitions, environment prerequisites, error handling), Admin Guide (workflows, UI field updates, approver group changes, pipeline variables), and Troubleshooting Guide (common issues, failure signatures, escalation routes).</w:t>
            </w:r>
          </w:p>
        </w:tc>
      </w:tr>
      <w:tr w:rsidR="00DF7ED8" w14:paraId="4489F3D3"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1FAACDD" w14:textId="77777777" w:rsidR="00DF7ED8" w:rsidRDefault="00000000">
            <w:pPr>
              <w:spacing w:after="240"/>
              <w:rPr>
                <w:color w:val="1F2328"/>
                <w:sz w:val="24"/>
                <w:szCs w:val="24"/>
                <w:highlight w:val="white"/>
              </w:rPr>
            </w:pPr>
            <w:r>
              <w:t>PR-05</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8C65D0B" w14:textId="77777777" w:rsidR="00DF7ED8" w:rsidRDefault="00000000">
            <w:pPr>
              <w:spacing w:after="240"/>
              <w:rPr>
                <w:color w:val="1F2328"/>
                <w:sz w:val="24"/>
                <w:szCs w:val="24"/>
                <w:highlight w:val="white"/>
              </w:rPr>
            </w:pPr>
            <w:r>
              <w:t>Knowledge Transfer</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CEC6920" w14:textId="77777777" w:rsidR="00DF7ED8" w:rsidRDefault="00000000">
            <w:pPr>
              <w:spacing w:after="240"/>
              <w:rPr>
                <w:color w:val="1F2328"/>
                <w:sz w:val="24"/>
                <w:szCs w:val="24"/>
                <w:highlight w:val="white"/>
              </w:rPr>
            </w:pPr>
            <w:r>
              <w:t>Technical KT — up to 4 sessions (~60 mins per session) for DevOps engineers and workflow admins covering architecture, logic and pipelines. Functional KT — up to 4 sessions (~60 mins per session) for license team approvers and requesters covering UI workflow, approvals and exceptions.</w:t>
            </w:r>
          </w:p>
        </w:tc>
      </w:tr>
      <w:tr w:rsidR="00DF7ED8" w14:paraId="05CAEE7C"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B5BC196" w14:textId="77777777" w:rsidR="00DF7ED8" w:rsidRDefault="00000000">
            <w:pPr>
              <w:spacing w:after="240"/>
              <w:rPr>
                <w:color w:val="1F2328"/>
                <w:sz w:val="24"/>
                <w:szCs w:val="24"/>
                <w:highlight w:val="white"/>
              </w:rPr>
            </w:pPr>
            <w:r>
              <w:t>PR-06</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A1E92D4" w14:textId="77777777" w:rsidR="00DF7ED8" w:rsidRDefault="00000000">
            <w:pPr>
              <w:spacing w:after="240"/>
              <w:rPr>
                <w:color w:val="1F2328"/>
                <w:sz w:val="24"/>
                <w:szCs w:val="24"/>
                <w:highlight w:val="white"/>
              </w:rPr>
            </w:pPr>
            <w:r>
              <w:t>Handover Package</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1F381E4" w14:textId="77777777" w:rsidR="00DF7ED8" w:rsidRDefault="00000000">
            <w:pPr>
              <w:spacing w:after="240"/>
              <w:rPr>
                <w:color w:val="1F2328"/>
                <w:sz w:val="24"/>
                <w:szCs w:val="24"/>
                <w:highlight w:val="white"/>
              </w:rPr>
            </w:pPr>
            <w:r>
              <w:t>Final compiled deliverables: Design packs, Code repository structure, Pipeline scripts, Runbooks, Admin guides and KT materials. Handover is conducted and User Manual signed off by Customer.</w:t>
            </w:r>
          </w:p>
        </w:tc>
      </w:tr>
      <w:tr w:rsidR="00DF7ED8" w14:paraId="7C123466"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52BB8AD" w14:textId="77777777" w:rsidR="00DF7ED8" w:rsidRDefault="00000000">
            <w:pPr>
              <w:spacing w:after="240"/>
              <w:rPr>
                <w:color w:val="1F2328"/>
                <w:sz w:val="24"/>
                <w:szCs w:val="24"/>
                <w:highlight w:val="white"/>
              </w:rPr>
            </w:pPr>
            <w:r>
              <w:t>PR-07</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958B671" w14:textId="77777777" w:rsidR="00DF7ED8" w:rsidRDefault="00000000">
            <w:pPr>
              <w:spacing w:after="240"/>
              <w:rPr>
                <w:color w:val="1F2328"/>
                <w:sz w:val="24"/>
                <w:szCs w:val="24"/>
                <w:highlight w:val="white"/>
              </w:rPr>
            </w:pPr>
            <w:r>
              <w:t>KT Materials</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B5BCE9D" w14:textId="77777777" w:rsidR="00DF7ED8" w:rsidRDefault="00000000">
            <w:pPr>
              <w:spacing w:after="240"/>
              <w:rPr>
                <w:color w:val="1F2328"/>
                <w:sz w:val="24"/>
                <w:szCs w:val="24"/>
                <w:highlight w:val="white"/>
              </w:rPr>
            </w:pPr>
            <w:r>
              <w:t>Slide decks, sample runs, demo scripts, code walkthroughs and support reference guides compiled and delivered as part of the Handover Package.</w:t>
            </w:r>
          </w:p>
        </w:tc>
      </w:tr>
      <w:tr w:rsidR="00DF7ED8" w14:paraId="1ED1E24A"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1712550" w14:textId="77777777" w:rsidR="00DF7ED8" w:rsidRDefault="00000000">
            <w:pPr>
              <w:spacing w:after="240"/>
              <w:rPr>
                <w:color w:val="1F2328"/>
                <w:sz w:val="24"/>
                <w:szCs w:val="24"/>
                <w:highlight w:val="white"/>
              </w:rPr>
            </w:pPr>
            <w:r>
              <w:t>PR-08</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CB15C6E" w14:textId="77777777" w:rsidR="00DF7ED8" w:rsidRDefault="00000000">
            <w:pPr>
              <w:spacing w:after="240"/>
              <w:rPr>
                <w:color w:val="1F2328"/>
                <w:sz w:val="24"/>
                <w:szCs w:val="24"/>
                <w:highlight w:val="white"/>
              </w:rPr>
            </w:pPr>
            <w:r>
              <w:t>Environments</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B33D727" w14:textId="77777777" w:rsidR="00DF7ED8" w:rsidRDefault="00000000">
            <w:pPr>
              <w:spacing w:after="240"/>
              <w:rPr>
                <w:color w:val="1F2328"/>
                <w:sz w:val="24"/>
                <w:szCs w:val="24"/>
                <w:highlight w:val="white"/>
              </w:rPr>
            </w:pPr>
            <w:r>
              <w:t>Customer to confirm availability of (or provision) Dev / Test / Prod Dataverse environments. Single-user Developer environments are not viable for the production-grade build.</w:t>
            </w:r>
          </w:p>
        </w:tc>
      </w:tr>
      <w:tr w:rsidR="00DF7ED8" w14:paraId="5ECA47FF" w14:textId="77777777">
        <w:trPr>
          <w:trHeight w:val="1335"/>
        </w:trPr>
        <w:tc>
          <w:tcPr>
            <w:tcW w:w="105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4E2F2AB" w14:textId="77777777" w:rsidR="00DF7ED8" w:rsidRDefault="00000000">
            <w:pPr>
              <w:spacing w:after="240"/>
              <w:rPr>
                <w:color w:val="1F2328"/>
                <w:sz w:val="24"/>
                <w:szCs w:val="24"/>
                <w:highlight w:val="white"/>
              </w:rPr>
            </w:pPr>
            <w:r>
              <w:t>PR-09</w:t>
            </w:r>
          </w:p>
        </w:tc>
        <w:tc>
          <w:tcPr>
            <w:tcW w:w="211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1847665" w14:textId="77777777" w:rsidR="00DF7ED8" w:rsidRDefault="00000000">
            <w:pPr>
              <w:spacing w:after="240"/>
              <w:rPr>
                <w:color w:val="1F2328"/>
                <w:sz w:val="24"/>
                <w:szCs w:val="24"/>
                <w:highlight w:val="white"/>
              </w:rPr>
            </w:pPr>
            <w:r>
              <w:t>Sign-Off Gates</w:t>
            </w:r>
          </w:p>
        </w:tc>
        <w:tc>
          <w:tcPr>
            <w:tcW w:w="595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1BEC64E" w14:textId="77777777" w:rsidR="00DF7ED8" w:rsidRDefault="00000000">
            <w:pPr>
              <w:spacing w:after="240"/>
              <w:rPr>
                <w:color w:val="1F2328"/>
                <w:sz w:val="24"/>
                <w:szCs w:val="24"/>
                <w:highlight w:val="white"/>
              </w:rPr>
            </w:pPr>
            <w:r>
              <w:t xml:space="preserve">Each Phase deliverable (Solution Design, Build, Acceptance Testing, Documentation &amp; KT) must be </w:t>
            </w:r>
            <w:r>
              <w:lastRenderedPageBreak/>
              <w:t>reviewed and signed off by the Customer before the next phase begins.</w:t>
            </w:r>
          </w:p>
        </w:tc>
      </w:tr>
    </w:tbl>
    <w:p w14:paraId="1138DB2E" w14:textId="77777777" w:rsidR="00DF7ED8" w:rsidRDefault="00DF7ED8"/>
    <w:sectPr w:rsidR="00DF7E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1A778EB7-B8C4-4CD8-A287-684140B984E1}"/>
  </w:font>
  <w:font w:name="Cambria">
    <w:panose1 w:val="02040503050406030204"/>
    <w:charset w:val="00"/>
    <w:family w:val="roman"/>
    <w:pitch w:val="variable"/>
    <w:sig w:usb0="E00006FF" w:usb1="420024FF" w:usb2="02000000" w:usb3="00000000" w:csb0="0000019F" w:csb1="00000000"/>
    <w:embedRegular r:id="rId2" w:fontKey="{6FEE4BDC-1D24-4231-A38F-2932D21F82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F64"/>
    <w:multiLevelType w:val="multilevel"/>
    <w:tmpl w:val="B1A82C5C"/>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A04309"/>
    <w:multiLevelType w:val="multilevel"/>
    <w:tmpl w:val="CFB6205A"/>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7257BC"/>
    <w:multiLevelType w:val="multilevel"/>
    <w:tmpl w:val="0F3A67F0"/>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206852"/>
    <w:multiLevelType w:val="multilevel"/>
    <w:tmpl w:val="A8CE987E"/>
    <w:lvl w:ilvl="0">
      <w:start w:val="1"/>
      <w:numFmt w:val="decimal"/>
      <w:lvlText w:val="%1."/>
      <w:lvlJc w:val="left"/>
      <w:pPr>
        <w:ind w:left="720" w:hanging="360"/>
      </w:pPr>
      <w:rPr>
        <w:rFonts w:ascii="Arial" w:eastAsia="Arial" w:hAnsi="Arial" w:cs="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1817048">
    <w:abstractNumId w:val="2"/>
  </w:num>
  <w:num w:numId="2" w16cid:durableId="1018850420">
    <w:abstractNumId w:val="0"/>
  </w:num>
  <w:num w:numId="3" w16cid:durableId="1156073151">
    <w:abstractNumId w:val="1"/>
  </w:num>
  <w:num w:numId="4" w16cid:durableId="1036344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ED8"/>
    <w:rsid w:val="003B380C"/>
    <w:rsid w:val="003C3E6D"/>
    <w:rsid w:val="00565627"/>
    <w:rsid w:val="006871A9"/>
    <w:rsid w:val="009D360C"/>
    <w:rsid w:val="00BF1E12"/>
    <w:rsid w:val="00C4196B"/>
    <w:rsid w:val="00DF7ED8"/>
    <w:rsid w:val="00F956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3922"/>
  <w15:docId w15:val="{682766EE-7A34-447A-8917-AF3D1AF1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3C3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9</Pages>
  <Words>2005</Words>
  <Characters>11434</Characters>
  <Application>Microsoft Office Word</Application>
  <DocSecurity>0</DocSecurity>
  <Lines>95</Lines>
  <Paragraphs>26</Paragraphs>
  <ScaleCrop>false</ScaleCrop>
  <Company>Infosys Limited</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Hetnon Freitas</cp:lastModifiedBy>
  <cp:revision>7</cp:revision>
  <dcterms:created xsi:type="dcterms:W3CDTF">2026-05-21T08:46:00Z</dcterms:created>
  <dcterms:modified xsi:type="dcterms:W3CDTF">2026-05-22T07:26:00Z</dcterms:modified>
</cp:coreProperties>
</file>