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HET PATEL — DATABASE &amp; DATA ENGINEERING MANUAL</w:t>
      </w:r>
    </w:p>
    <w:p>
      <w:pPr>
        <w:pStyle w:val="Subtitle"/>
      </w:pPr>
      <w:r>
        <w:t>Data contract, schema migration, adapters, QC, source tracking and ML-ready export</w:t>
      </w:r>
    </w:p>
    <w:p>
      <w:r>
        <w:t>OWNER: Het (single accountable owner)   |   DEADLINE: Sunday October 11, 2026, 12:00 PM ET</w:t>
      </w:r>
    </w:p>
    <w:p>
      <w:pPr>
        <w:pStyle w:val="Heading1"/>
      </w:pPr>
      <w:r>
        <w:t>Mission and boundary</w:t>
      </w:r>
    </w:p>
    <w:p>
      <w:r>
        <w:t>You own the trustworthy data foundation. You do NOT own ML feature choices, supervised targets, model training, or frontend response presentation. Your task is to guarantee that organizer data and development fixtures produce identical canonical records through one stable repository interface.</w:t>
      </w:r>
    </w:p>
    <w:p>
      <w:pPr>
        <w:pStyle w:val="Heading1"/>
      </w:pPr>
      <w:r>
        <w:t>Non-negotiable team contract</w:t>
      </w:r>
    </w:p>
    <w:p>
      <w:pPr>
        <w:pStyle w:val="ListBullet"/>
      </w:pPr>
      <w:r>
        <w:t>Master document is authoritative. The teammate manuals restate its frozen contracts; any change to API shapes, canonical columns, units, timing, or filenames requires Ruhaan approval and a single documented contract version bump.</w:t>
      </w:r>
    </w:p>
    <w:p>
      <w:pPr>
        <w:pStyle w:val="ListBullet"/>
      </w:pPr>
      <w:r>
        <w:t>Repo main must always run. Each person works on a dedicated branch: ruhaan/ml-backend, het/data-platform, neil/frontend. Pull latest main before work; use small PRs with passing checks; never force-push main.</w:t>
      </w:r>
    </w:p>
    <w:p>
      <w:pPr>
        <w:pStyle w:val="ListBullet"/>
      </w:pPr>
      <w:r>
        <w:t>No hardcoded predictions presented as model outputs. Demo fixtures are explicitly labeled. Never fabricate evaluation numbers, confidence intervals, medication efficacy, or clinical effectiveness.</w:t>
      </w:r>
    </w:p>
    <w:p>
      <w:pPr>
        <w:pStyle w:val="ListBullet"/>
      </w:pPr>
      <w:r>
        <w:t>No real identifiable patient data. Use only supplied synthetic or approved de-identified/public datasets. Never commit credentials, private access codes, tokens, large unlicensed datasets, or patient-level sensitive files.</w:t>
      </w:r>
    </w:p>
    <w:p>
      <w:pPr>
        <w:pStyle w:val="ListBullet"/>
      </w:pPr>
      <w:r>
        <w:t>Three-person eligibility must be confirmed with organizers: published team-size guidance says 4–8. This is an administrative blocker to resolve immediately, not an assumption of approval.</w:t>
      </w:r>
    </w:p>
    <w:p>
      <w:pPr>
        <w:pStyle w:val="ListBullet"/>
      </w:pPr>
      <w:r>
        <w:t>Submission is due Sunday October 11 at 12:00 PM ET; AWS access lasting longer is NOT a deadline extension. Target internal final freeze 10:00 AM ET.</w:t>
      </w:r>
    </w:p>
    <w:p>
      <w:pPr>
        <w:pStyle w:val="ListBullet"/>
      </w:pPr>
      <w:r>
        <w:t>If organizer dataset arrives: Het profiles/maps inputs, Ruhaan determines train/holdout methodology, Neil does not change display contracts. Official data takes priority over invented assumptions.</w:t>
      </w:r>
    </w:p>
    <w:p>
      <w:pPr>
        <w:pStyle w:val="ListBullet"/>
      </w:pPr>
      <w:r>
        <w:t>No medication dosing, diagnostic, or treatment advice in UI. State: research prototype using synthetic data, not for clinical decision-making.</w:t>
      </w:r>
    </w:p>
    <w:p>
      <w:pPr>
        <w:pStyle w:val="Heading1"/>
      </w:pPr>
      <w:r>
        <w:t>Frozen cross-team interface: version 1.0</w:t>
      </w:r>
    </w:p>
    <w:p>
      <w:r>
        <w:t>All datetimes are RFC3339 ISO 8601 with explicit UTC offset (prefer Z). Data layer normalizes to UTC, preserves source timezone when provided; display may localize. CGM is mg/dL, heart rate bpm, nutrition grams, calories kcal, doses preserve original units with explicit dose_unit. Participant IDs and meal IDs are opaque strings. Missing optional values are null, not silently zero.</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Field/entity</w:t>
            </w:r>
          </w:p>
        </w:tc>
        <w:tc>
          <w:tcPr>
            <w:tcW w:type="dxa" w:w="3293"/>
          </w:tcPr>
          <w:p>
            <w:r>
              <w:t>Minimum canonical fields</w:t>
            </w:r>
          </w:p>
        </w:tc>
        <w:tc>
          <w:tcPr>
            <w:tcW w:type="dxa" w:w="3293"/>
          </w:tcPr>
          <w:p>
            <w:r>
              <w:t>Rules</w:t>
            </w:r>
          </w:p>
        </w:tc>
      </w:tr>
      <w:tr>
        <w:tc>
          <w:tcPr>
            <w:tcW w:type="dxa" w:w="3293"/>
          </w:tcPr>
          <w:p>
            <w:r>
              <w:t>Participant</w:t>
            </w:r>
          </w:p>
        </w:tc>
        <w:tc>
          <w:tcPr>
            <w:tcW w:type="dxa" w:w="3293"/>
          </w:tcPr>
          <w:p>
            <w:r>
              <w:t>participant_id, display_name, data_source, timezone</w:t>
            </w:r>
          </w:p>
        </w:tc>
        <w:tc>
          <w:tcPr>
            <w:tcW w:type="dxa" w:w="3293"/>
          </w:tcPr>
          <w:p>
            <w:r>
              <w:t>No real patient identifiers in demo; synthetic display names</w:t>
            </w:r>
          </w:p>
        </w:tc>
      </w:tr>
      <w:tr>
        <w:tc>
          <w:tcPr>
            <w:tcW w:type="dxa" w:w="3293"/>
          </w:tcPr>
          <w:p>
            <w:r>
              <w:t>CGM</w:t>
            </w:r>
          </w:p>
        </w:tc>
        <w:tc>
          <w:tcPr>
            <w:tcW w:type="dxa" w:w="3293"/>
          </w:tcPr>
          <w:p>
            <w:r>
              <w:t>participant_id, timestamp, glucose_mg_dl</w:t>
            </w:r>
          </w:p>
        </w:tc>
        <w:tc>
          <w:tcPr>
            <w:tcW w:type="dxa" w:w="3293"/>
          </w:tcPr>
          <w:p>
            <w:r>
              <w:t>5-min nominal cadence; missingness allowed; reject negative/nonfinite</w:t>
            </w:r>
          </w:p>
        </w:tc>
      </w:tr>
      <w:tr>
        <w:tc>
          <w:tcPr>
            <w:tcW w:type="dxa" w:w="3293"/>
          </w:tcPr>
          <w:p>
            <w:r>
              <w:t>Heart rate</w:t>
            </w:r>
          </w:p>
        </w:tc>
        <w:tc>
          <w:tcPr>
            <w:tcW w:type="dxa" w:w="3293"/>
          </w:tcPr>
          <w:p>
            <w:r>
              <w:t>participant_id, timestamp, heart_rate_bpm, resting_heart_rate_bpm?</w:t>
            </w:r>
          </w:p>
        </w:tc>
        <w:tc>
          <w:tcPr>
            <w:tcW w:type="dxa" w:w="3293"/>
          </w:tcPr>
          <w:p>
            <w:r>
              <w:t>Optional; reject impossible/nonfinite; tolerate absent</w:t>
            </w:r>
          </w:p>
        </w:tc>
      </w:tr>
      <w:tr>
        <w:tc>
          <w:tcPr>
            <w:tcW w:type="dxa" w:w="3293"/>
          </w:tcPr>
          <w:p>
            <w:r>
              <w:t>Meal</w:t>
            </w:r>
          </w:p>
        </w:tc>
        <w:tc>
          <w:tcPr>
            <w:tcW w:type="dxa" w:w="3293"/>
          </w:tcPr>
          <w:p>
            <w:r>
              <w:t>meal_id, participant_id, timestamp, carbs_g?, protein_g?, fat_g?, fiber_g?, calories_kcal?, image_ref?</w:t>
            </w:r>
          </w:p>
        </w:tc>
        <w:tc>
          <w:tcPr>
            <w:tcW w:type="dxa" w:w="3293"/>
          </w:tcPr>
          <w:p>
            <w:r>
              <w:t>Macro values optional at ingestion; prediction requires macros or reviewed estimate</w:t>
            </w:r>
          </w:p>
        </w:tc>
      </w:tr>
      <w:tr>
        <w:tc>
          <w:tcPr>
            <w:tcW w:type="dxa" w:w="3293"/>
          </w:tcPr>
          <w:p>
            <w:r>
              <w:t>Medication</w:t>
            </w:r>
          </w:p>
        </w:tc>
        <w:tc>
          <w:tcPr>
            <w:tcW w:type="dxa" w:w="3293"/>
          </w:tcPr>
          <w:p>
            <w:r>
              <w:t>participant_id, timestamp, medication_class, dose?, dose_unit?</w:t>
            </w:r>
          </w:p>
        </w:tc>
        <w:tc>
          <w:tcPr>
            <w:tcW w:type="dxa" w:w="3293"/>
          </w:tcPr>
          <w:p>
            <w:r>
              <w:t>Optional; no assumption medication name maps to clinical effect</w:t>
            </w:r>
          </w:p>
        </w:tc>
      </w:tr>
      <w:tr>
        <w:tc>
          <w:tcPr>
            <w:tcW w:type="dxa" w:w="3293"/>
          </w:tcPr>
          <w:p>
            <w:r>
              <w:t>Activity</w:t>
            </w:r>
          </w:p>
        </w:tc>
        <w:tc>
          <w:tcPr>
            <w:tcW w:type="dxa" w:w="3293"/>
          </w:tcPr>
          <w:p>
            <w:r>
              <w:t>participant_id, timestamp, activity_value?, activity_unit?</w:t>
            </w:r>
          </w:p>
        </w:tc>
        <w:tc>
          <w:tcPr>
            <w:tcW w:type="dxa" w:w="3293"/>
          </w:tcPr>
          <w:p>
            <w:r>
              <w:t>Optional; do not require for MVP</w:t>
            </w:r>
          </w:p>
        </w:tc>
      </w:tr>
    </w:tbl>
    <w:p>
      <w:pPr>
        <w:pStyle w:val="Heading1"/>
      </w:pPr>
      <w:r>
        <w:t>Frozen REST API: version 1.0</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Method / path</w:t>
            </w:r>
          </w:p>
        </w:tc>
        <w:tc>
          <w:tcPr>
            <w:tcW w:type="dxa" w:w="4939"/>
          </w:tcPr>
          <w:p>
            <w:r>
              <w:t>Response / behavior</w:t>
            </w:r>
          </w:p>
        </w:tc>
      </w:tr>
      <w:tr>
        <w:tc>
          <w:tcPr>
            <w:tcW w:type="dxa" w:w="4939"/>
          </w:tcPr>
          <w:p>
            <w:r>
              <w:t>GET /health</w:t>
            </w:r>
          </w:p>
        </w:tc>
        <w:tc>
          <w:tcPr>
            <w:tcW w:type="dxa" w:w="4939"/>
          </w:tcPr>
          <w:p>
            <w:r>
              <w:t>{status: "ok", version: "1.0.0"}</w:t>
            </w:r>
          </w:p>
        </w:tc>
      </w:tr>
      <w:tr>
        <w:tc>
          <w:tcPr>
            <w:tcW w:type="dxa" w:w="4939"/>
          </w:tcPr>
          <w:p>
            <w:r>
              <w:t>GET /api/participants</w:t>
            </w:r>
          </w:p>
        </w:tc>
        <w:tc>
          <w:tcPr>
            <w:tcW w:type="dxa" w:w="4939"/>
          </w:tcPr>
          <w:p>
            <w:r>
              <w:t>{participants: [{participant_id, display_name, data_source, days_available}]}</w:t>
            </w:r>
          </w:p>
        </w:tc>
      </w:tr>
      <w:tr>
        <w:tc>
          <w:tcPr>
            <w:tcW w:type="dxa" w:w="4939"/>
          </w:tcPr>
          <w:p>
            <w:r>
              <w:t>GET /api/participants/{id}/history?start=&amp;end=</w:t>
            </w:r>
          </w:p>
        </w:tc>
        <w:tc>
          <w:tcPr>
            <w:tcW w:type="dxa" w:w="4939"/>
          </w:tcPr>
          <w:p>
            <w:r>
              <w:t>{participant_id, cgm: [{timestamp,glucose_mg_dl}], meals: [{meal_id,timestamp,carbs_g,...}], heart_rate: [{timestamp,heart_rate_bpm}]}</w:t>
            </w:r>
          </w:p>
        </w:tc>
      </w:tr>
      <w:tr>
        <w:tc>
          <w:tcPr>
            <w:tcW w:type="dxa" w:w="4939"/>
          </w:tcPr>
          <w:p>
            <w:r>
              <w:t>POST /api/predict</w:t>
            </w:r>
          </w:p>
        </w:tc>
        <w:tc>
          <w:tcPr>
            <w:tcW w:type="dxa" w:w="4939"/>
          </w:tcPr>
          <w:p>
            <w:r>
              <w:t>Returns ForecastResponse as specified below; 422 invalid input; 404 unknown participant; 503 untrained model</w:t>
            </w:r>
          </w:p>
        </w:tc>
      </w:tr>
      <w:tr>
        <w:tc>
          <w:tcPr>
            <w:tcW w:type="dxa" w:w="4939"/>
          </w:tcPr>
          <w:p>
            <w:r>
              <w:t>POST /api/compare</w:t>
            </w:r>
          </w:p>
        </w:tc>
        <w:tc>
          <w:tcPr>
            <w:tcW w:type="dxa" w:w="4939"/>
          </w:tcPr>
          <w:p>
            <w:r>
              <w:t>{comparison_id, forecasts: [ForecastResponse, ForecastResponse], caveat}; P1, stub optional until implemented</w:t>
            </w:r>
          </w:p>
        </w:tc>
      </w:tr>
      <w:tr>
        <w:tc>
          <w:tcPr>
            <w:tcW w:type="dxa" w:w="4939"/>
          </w:tcPr>
          <w:p>
            <w:r>
              <w:t>GET /api/model/metrics</w:t>
            </w:r>
          </w:p>
        </w:tc>
        <w:tc>
          <w:tcPr>
            <w:tcW w:type="dxa" w:w="4939"/>
          </w:tcPr>
          <w:p>
            <w:r>
              <w:t>{dataset_source, evaluation_protocol, by_model, by_horizon, sample_counts, limitations}</w:t>
            </w:r>
          </w:p>
        </w:tc>
      </w:tr>
      <w:tr>
        <w:tc>
          <w:tcPr>
            <w:tcW w:type="dxa" w:w="4939"/>
          </w:tcPr>
          <w:p>
            <w:r>
              <w:t>GET /api/model/info</w:t>
            </w:r>
          </w:p>
        </w:tc>
        <w:tc>
          <w:tcPr>
            <w:tcW w:type="dxa" w:w="4939"/>
          </w:tcPr>
          <w:p>
            <w:r>
              <w:t>{model_version, trained_at, data_source, feature_set_version, metrics_available, limitations}</w:t>
            </w:r>
          </w:p>
        </w:tc>
      </w:tr>
    </w:tbl>
    <w:p>
      <w:r>
        <w:t>Sample POST /api/predict request (fixed contract; only requestable data present at prediction time):</w:t>
      </w:r>
    </w:p>
    <w:p>
      <w:pPr>
        <w:spacing w:after="0"/>
      </w:pPr>
      <w:r>
        <w:rPr>
          <w:rFonts w:ascii="Consolas" w:hAnsi="Consolas"/>
          <w:color w:val="132940"/>
          <w:sz w:val="15"/>
        </w:rPr>
        <w:t>{</w:t>
      </w:r>
    </w:p>
    <w:p>
      <w:pPr>
        <w:spacing w:after="0"/>
      </w:pPr>
      <w:r>
        <w:rPr>
          <w:rFonts w:ascii="Consolas" w:hAnsi="Consolas"/>
          <w:color w:val="132940"/>
          <w:sz w:val="15"/>
        </w:rPr>
        <w:t xml:space="preserve">  "participant_id": "synthetic_p001",</w:t>
      </w:r>
    </w:p>
    <w:p>
      <w:pPr>
        <w:spacing w:after="0"/>
      </w:pPr>
      <w:r>
        <w:rPr>
          <w:rFonts w:ascii="Consolas" w:hAnsi="Consolas"/>
          <w:color w:val="132940"/>
          <w:sz w:val="15"/>
        </w:rPr>
        <w:t xml:space="preserve">  "meal_timestamp": "2026-10-08T12:30:00Z",</w:t>
      </w:r>
    </w:p>
    <w:p>
      <w:pPr>
        <w:spacing w:after="0"/>
      </w:pPr>
      <w:r>
        <w:rPr>
          <w:rFonts w:ascii="Consolas" w:hAnsi="Consolas"/>
          <w:color w:val="132940"/>
          <w:sz w:val="15"/>
        </w:rPr>
        <w:t xml:space="preserve">  "meal": {"carbs_g": 55, "protein_g": 22, "fat_g": 16,</w:t>
      </w:r>
    </w:p>
    <w:p>
      <w:pPr>
        <w:spacing w:after="0"/>
      </w:pPr>
      <w:r>
        <w:rPr>
          <w:rFonts w:ascii="Consolas" w:hAnsi="Consolas"/>
          <w:color w:val="132940"/>
          <w:sz w:val="15"/>
        </w:rPr>
        <w:t xml:space="preserve">           "fiber_g": 7, "calories_kcal": 460},</w:t>
      </w:r>
    </w:p>
    <w:p>
      <w:pPr>
        <w:spacing w:after="0"/>
      </w:pPr>
      <w:r>
        <w:rPr>
          <w:rFonts w:ascii="Consolas" w:hAnsi="Consolas"/>
          <w:color w:val="132940"/>
          <w:sz w:val="15"/>
        </w:rPr>
        <w:t xml:space="preserve">  "context_override": null</w:t>
      </w:r>
    </w:p>
    <w:p>
      <w:pPr>
        <w:spacing w:after="0"/>
      </w:pPr>
      <w:r>
        <w:rPr>
          <w:rFonts w:ascii="Consolas" w:hAnsi="Consolas"/>
          <w:color w:val="132940"/>
          <w:sz w:val="15"/>
        </w:rPr>
        <w:t>}</w:t>
      </w:r>
    </w:p>
    <w:p>
      <w:r>
        <w:t>Sample response shape (numbers below are illustrative placeholders, NEVER validation claims):</w:t>
      </w:r>
    </w:p>
    <w:p>
      <w:pPr>
        <w:spacing w:after="0"/>
      </w:pPr>
      <w:r>
        <w:rPr>
          <w:rFonts w:ascii="Consolas" w:hAnsi="Consolas"/>
          <w:color w:val="132940"/>
          <w:sz w:val="15"/>
        </w:rPr>
        <w:t>{</w:t>
      </w:r>
    </w:p>
    <w:p>
      <w:pPr>
        <w:spacing w:after="0"/>
      </w:pPr>
      <w:r>
        <w:rPr>
          <w:rFonts w:ascii="Consolas" w:hAnsi="Consolas"/>
          <w:color w:val="132940"/>
          <w:sz w:val="15"/>
        </w:rPr>
        <w:t xml:space="preserve">  "participant_id": "synthetic_p001",</w:t>
      </w:r>
    </w:p>
    <w:p>
      <w:pPr>
        <w:spacing w:after="0"/>
      </w:pPr>
      <w:r>
        <w:rPr>
          <w:rFonts w:ascii="Consolas" w:hAnsi="Consolas"/>
          <w:color w:val="132940"/>
          <w:sz w:val="15"/>
        </w:rPr>
        <w:t xml:space="preserve">  "meal_timestamp": "2026-10-08T12:30:00Z",</w:t>
      </w:r>
    </w:p>
    <w:p>
      <w:pPr>
        <w:spacing w:after="0"/>
      </w:pPr>
      <w:r>
        <w:rPr>
          <w:rFonts w:ascii="Consolas" w:hAnsi="Consolas"/>
          <w:color w:val="132940"/>
          <w:sz w:val="15"/>
        </w:rPr>
        <w:t xml:space="preserve">  "model_version": "v0.1.0", "data_source": "synthetic_dev",</w:t>
      </w:r>
    </w:p>
    <w:p>
      <w:pPr>
        <w:spacing w:after="0"/>
      </w:pPr>
      <w:r>
        <w:rPr>
          <w:rFonts w:ascii="Consolas" w:hAnsi="Consolas"/>
          <w:color w:val="132940"/>
          <w:sz w:val="15"/>
        </w:rPr>
        <w:t xml:space="preserve">  "prediction_status": "personalized",</w:t>
      </w:r>
    </w:p>
    <w:p>
      <w:pPr>
        <w:spacing w:after="0"/>
      </w:pPr>
      <w:r>
        <w:rPr>
          <w:rFonts w:ascii="Consolas" w:hAnsi="Consolas"/>
          <w:color w:val="132940"/>
          <w:sz w:val="15"/>
        </w:rPr>
        <w:t xml:space="preserve">  "points": [{"minute": 0, "glucose_mg_dl": 105.0,</w:t>
      </w:r>
    </w:p>
    <w:p>
      <w:pPr>
        <w:spacing w:after="0"/>
      </w:pPr>
      <w:r>
        <w:rPr>
          <w:rFonts w:ascii="Consolas" w:hAnsi="Consolas"/>
          <w:color w:val="132940"/>
          <w:sz w:val="15"/>
        </w:rPr>
        <w:t xml:space="preserve">              "lower_mg_dl": null, "upper_mg_dl": null}],</w:t>
      </w:r>
    </w:p>
    <w:p>
      <w:pPr>
        <w:spacing w:after="0"/>
      </w:pPr>
      <w:r>
        <w:rPr>
          <w:rFonts w:ascii="Consolas" w:hAnsi="Consolas"/>
          <w:color w:val="132940"/>
          <w:sz w:val="15"/>
        </w:rPr>
        <w:t xml:space="preserve">  "glucose_at_minutes": {"30": 124, "60": 146, "90": 139, "120": 118},</w:t>
      </w:r>
    </w:p>
    <w:p>
      <w:pPr>
        <w:spacing w:after="0"/>
      </w:pPr>
      <w:r>
        <w:rPr>
          <w:rFonts w:ascii="Consolas" w:hAnsi="Consolas"/>
          <w:color w:val="132940"/>
          <w:sz w:val="15"/>
        </w:rPr>
        <w:t xml:space="preserve">  "metrics": {"peak_mg_dl": 146, "peak_delta_mg_dl": 41,</w:t>
      </w:r>
    </w:p>
    <w:p>
      <w:pPr>
        <w:spacing w:after="0"/>
      </w:pPr>
      <w:r>
        <w:rPr>
          <w:rFonts w:ascii="Consolas" w:hAnsi="Consolas"/>
          <w:color w:val="132940"/>
          <w:sz w:val="15"/>
        </w:rPr>
        <w:t xml:space="preserve">              "time_to_peak_minutes": 60, "incremental_auc_mg_dl_min": 3200},</w:t>
      </w:r>
    </w:p>
    <w:p>
      <w:pPr>
        <w:spacing w:after="0"/>
      </w:pPr>
      <w:r>
        <w:rPr>
          <w:rFonts w:ascii="Consolas" w:hAnsi="Consolas"/>
          <w:color w:val="132940"/>
          <w:sz w:val="15"/>
        </w:rPr>
        <w:t xml:space="preserve">  "drivers": [{"feature": "carbs_g", "contribution_mg_dl": 12.5,</w:t>
      </w:r>
    </w:p>
    <w:p>
      <w:pPr>
        <w:spacing w:after="0"/>
      </w:pPr>
      <w:r>
        <w:rPr>
          <w:rFonts w:ascii="Consolas" w:hAnsi="Consolas"/>
          <w:color w:val="132940"/>
          <w:sz w:val="15"/>
        </w:rPr>
        <w:t xml:space="preserve">               "explanation": "Model-based contribution"}],</w:t>
      </w:r>
    </w:p>
    <w:p>
      <w:pPr>
        <w:spacing w:after="0"/>
      </w:pPr>
      <w:r>
        <w:rPr>
          <w:rFonts w:ascii="Consolas" w:hAnsi="Consolas"/>
          <w:color w:val="132940"/>
          <w:sz w:val="15"/>
        </w:rPr>
        <w:t xml:space="preserve">  "uncertainty_status": "not_calibrated",</w:t>
      </w:r>
    </w:p>
    <w:p>
      <w:pPr>
        <w:spacing w:after="0"/>
      </w:pPr>
      <w:r>
        <w:rPr>
          <w:rFonts w:ascii="Consolas" w:hAnsi="Consolas"/>
          <w:color w:val="132940"/>
          <w:sz w:val="15"/>
        </w:rPr>
        <w:t xml:space="preserve">  "limitations": ["Synthetic research demonstration; not medical advice"]</w:t>
      </w:r>
    </w:p>
    <w:p>
      <w:pPr>
        <w:spacing w:after="0"/>
      </w:pPr>
      <w:r>
        <w:rPr>
          <w:rFonts w:ascii="Consolas" w:hAnsi="Consolas"/>
          <w:color w:val="132940"/>
          <w:sz w:val="15"/>
        </w:rPr>
        <w:t>}</w:t>
      </w:r>
    </w:p>
    <w:p>
      <w:r>
        <w:t>points MUST have 25 entries at minutes 0,5,...,120. lower/upper remain null unless evaluated intervals exist. glucose_at_minutes is derived from points, not independently invented. iAUC = five-minute trapezoidal integration of max(predicted glucose − baseline glucose, 0) in mg/dL·min. Peak/time-to-peak are computed on the sampled curve, with earliest-tie peak. Do not confuse iAUC with signed net excursion.</w:t>
      </w:r>
    </w:p>
    <w:p>
      <w:pPr>
        <w:pStyle w:val="Heading1"/>
      </w:pPr>
      <w:r>
        <w:t>Integration message protocol</w:t>
      </w:r>
    </w:p>
    <w:p>
      <w:r>
        <w:t>Every PR or handoff message must contain: OWNER | BRANCH | COMMIT SHA | CONTRACT VERSION | CHANGED FILES | HOW TO RUN | TEST COMMAND + ACTUAL RESULT | BLOCKERS | NEXT HANDOFF. If a producer changes a schema, attach a migration note and update contract docs and tests in the same PR. No undocumented changes via Discord.</w:t>
      </w:r>
    </w:p>
    <w:p>
      <w:pPr>
        <w:pStyle w:val="Heading1"/>
      </w:pPr>
      <w:r>
        <w:t>Your locked file ownership</w:t>
      </w:r>
    </w:p>
    <w:p>
      <w:r>
        <w:t>OWN: data/**, tests/test_data_*.py and docs/data_provenance.md. JOINT REVIEW: canonical schema with Ruhaan. DO NOT edit backend schemas or model internals without approved change.</w:t>
      </w:r>
    </w:p>
    <w:p>
      <w:pPr>
        <w:pStyle w:val="Heading1"/>
      </w:pPr>
      <w:r>
        <w:t>Exact phased execution checklist</w:t>
      </w:r>
    </w:p>
    <w:p>
      <w:pPr>
        <w:pStyle w:val="Heading2"/>
      </w:pPr>
      <w:r>
        <w:t>H0 — Contract acknowledgment; 30 minutes</w:t>
      </w:r>
    </w:p>
    <w:p>
      <w:pPr>
        <w:pStyle w:val="ListNumber"/>
      </w:pPr>
      <w:r>
        <w:t>Read master v1.0 and post ACK; do not invent your own table names or measurements.</w:t>
      </w:r>
    </w:p>
    <w:p>
      <w:pPr>
        <w:pStyle w:val="ListNumber"/>
      </w:pPr>
      <w:r>
        <w:t>Create data/ directory structure: adapters/, storage/, fixtures/, mapping/, reports/ and data/README.md.</w:t>
      </w:r>
    </w:p>
    <w:p>
      <w:pPr>
        <w:pStyle w:val="ListNumber"/>
      </w:pPr>
      <w:r>
        <w:t>Align with Ruhaan on adapter call signatures and CGM timezone normalization; participate in a 15-minute contract handshake.</w:t>
      </w:r>
    </w:p>
    <w:p>
      <w:pPr>
        <w:pStyle w:val="Heading2"/>
      </w:pPr>
      <w:r>
        <w:t>H1 — Database schema and query layer; 2 hours</w:t>
      </w:r>
    </w:p>
    <w:p>
      <w:pPr>
        <w:pStyle w:val="ListNumber"/>
      </w:pPr>
      <w:r>
        <w:t>Use SQLAlchemy with SQLite MVP; migrations via simple versioned SQL or Alembic only if already stable. Tables/keys/indexes exactly as master.</w:t>
      </w:r>
    </w:p>
    <w:p>
      <w:pPr>
        <w:pStyle w:val="ListNumber"/>
      </w:pPr>
      <w:r>
        <w:t>Implement DB setup CLI `python -m data.storage.init_db --db-url sqlite:///...` and seed command; no drop of production tables by default.</w:t>
      </w:r>
    </w:p>
    <w:p>
      <w:pPr>
        <w:pStyle w:val="ListNumber"/>
      </w:pPr>
      <w:r>
        <w:t>Implement read-only DataRepository: list_participants(), get_participant(id), get_history(id,start,end), get_meals(id,start,end), export_records() with deterministic sorted output.</w:t>
      </w:r>
    </w:p>
    <w:p>
      <w:pPr>
        <w:pStyle w:val="ListNumber"/>
      </w:pPr>
      <w:r>
        <w:t>Use unique keys/upserts for idempotence and foreign keys for participant relationships; prevent participant cross-query leakage.</w:t>
      </w:r>
    </w:p>
    <w:p>
      <w:pPr>
        <w:pStyle w:val="Heading2"/>
      </w:pPr>
      <w:r>
        <w:t>H2 — Development fixtures &amp; ingestion; 2–3 hours</w:t>
      </w:r>
    </w:p>
    <w:p>
      <w:pPr>
        <w:pStyle w:val="ListNumber"/>
      </w:pPr>
      <w:r>
        <w:t>Create deterministic synthetic generator or ingestion of Ruhaan-agreed fixture files: &gt;=6 simulated participants, 7 days, 5-min CGM, HR, meals, optional medications, missingness. Keep generators physically separate from ML logic.</w:t>
      </w:r>
    </w:p>
    <w:p>
      <w:pPr>
        <w:pStyle w:val="ListNumber"/>
      </w:pPr>
      <w:r>
        <w:t>Build adapter from normalized fixture CSV/JSON files to domain records; timestamp parsing, type coercion, unit validation, duplicate policy, reject log, source manifest hash.</w:t>
      </w:r>
    </w:p>
    <w:p>
      <w:pPr>
        <w:pStyle w:val="ListNumber"/>
      </w:pPr>
      <w:r>
        <w:t>Produce quality report: counts by participant/modality, time ranges, missing rate, near-meal CGM coverage, duplicate/rejected rows, nutrition completeness.</w:t>
      </w:r>
    </w:p>
    <w:p>
      <w:pPr>
        <w:pStyle w:val="ListNumber"/>
      </w:pPr>
      <w:r>
        <w:t>Write unit tests for idempotent import, bad timestamp, missing optional HR/meds, out-of-range negative glucose, participant isolation.</w:t>
      </w:r>
    </w:p>
    <w:p>
      <w:pPr>
        <w:pStyle w:val="Heading2"/>
      </w:pPr>
      <w:r>
        <w:t>H3 — Official dataset arrival; priority interrupt</w:t>
      </w:r>
    </w:p>
    <w:p>
      <w:pPr>
        <w:pStyle w:val="ListNumber"/>
      </w:pPr>
      <w:r>
        <w:t>Save official source files outside git if license or privacy terms require; log origin, receipt time, checksum, schema and permitted use.</w:t>
      </w:r>
    </w:p>
    <w:p>
      <w:pPr>
        <w:pStyle w:val="ListNumber"/>
      </w:pPr>
      <w:r>
        <w:t>Generate column inventory, row counts, distinct participant/meal counts, temporal spans and missingness BEFORE modification. Compare actual units/timezones with master.</w:t>
      </w:r>
    </w:p>
    <w:p>
      <w:pPr>
        <w:pStyle w:val="ListNumber"/>
      </w:pPr>
      <w:r>
        <w:t>Implement config-driven mapping (original column -&gt; canonical field); new files via adapter, not changing existing canonical schema unless Ruhaan approves v1.1.</w:t>
      </w:r>
    </w:p>
    <w:p>
      <w:pPr>
        <w:pStyle w:val="ListNumber"/>
      </w:pPr>
      <w:r>
        <w:t>If any image path, photo nutrition or post-meal ground truth is missing: report it explicitly; do NOT invent values.</w:t>
      </w:r>
    </w:p>
    <w:p>
      <w:pPr>
        <w:pStyle w:val="ListNumber"/>
      </w:pPr>
      <w:r>
        <w:t>Run ingest+quality test, send Ruhaan signed-off dataset quality report and example canonical records.</w:t>
      </w:r>
    </w:p>
    <w:p>
      <w:pPr>
        <w:pStyle w:val="Heading2"/>
      </w:pPr>
      <w:r>
        <w:t>H4 — Integration and hardening</w:t>
      </w:r>
    </w:p>
    <w:p>
      <w:pPr>
        <w:pStyle w:val="ListNumber"/>
      </w:pPr>
      <w:r>
        <w:t>Produce canonical stored dataset plus path to database, and README with exact import instructions.</w:t>
      </w:r>
    </w:p>
    <w:p>
      <w:pPr>
        <w:pStyle w:val="ListNumber"/>
      </w:pPr>
      <w:r>
        <w:t>Verify ML read API speed for 7-day participant history; add index on (participant_id,timestamp).</w:t>
      </w:r>
    </w:p>
    <w:p>
      <w:pPr>
        <w:pStyle w:val="ListNumber"/>
      </w:pPr>
      <w:r>
        <w:t>Confirm no files containing API keys/private patient data tracked; assert schema version and source on records.</w:t>
      </w:r>
    </w:p>
    <w:p>
      <w:pPr>
        <w:pStyle w:val="ListNumber"/>
      </w:pPr>
      <w:r>
        <w:t>Build clean-reset seed script for local demo; let Ruhaan own deployment database connection env.</w:t>
      </w:r>
    </w:p>
    <w:p>
      <w:pPr>
        <w:pStyle w:val="Heading1"/>
      </w:pPr>
      <w:r>
        <w:t>Acceptance gate — cannot hand off until each passes</w:t>
      </w:r>
    </w:p>
    <w:p>
      <w:pPr>
        <w:pStyle w:val="ListBullet"/>
      </w:pPr>
      <w:r>
        <w:t>`python -m data.adapters.ingest --source synthetic_dev` can be rerun without duplicate rows.</w:t>
      </w:r>
    </w:p>
    <w:p>
      <w:pPr>
        <w:pStyle w:val="ListBullet"/>
      </w:pPr>
      <w:r>
        <w:t>All participants have canonical timestamps and units; rejected/missing records are counted, not silently deleted.</w:t>
      </w:r>
    </w:p>
    <w:p>
      <w:pPr>
        <w:pStyle w:val="ListBullet"/>
      </w:pPr>
      <w:r>
        <w:t>Read API sorts chronologically and filters strictly by participant ID.</w:t>
      </w:r>
    </w:p>
    <w:p>
      <w:pPr>
        <w:pStyle w:val="ListBullet"/>
      </w:pPr>
      <w:r>
        <w:t>Data source and checksum exist for every import; quality report produced for official data.</w:t>
      </w:r>
    </w:p>
    <w:p>
      <w:pPr>
        <w:pStyle w:val="ListBullet"/>
      </w:pPr>
      <w:r>
        <w:t>Missing optional modalities cannot crash prediction pipeline.</w:t>
      </w:r>
    </w:p>
    <w:p>
      <w:pPr>
        <w:pStyle w:val="ListBullet"/>
      </w:pPr>
      <w:r>
        <w:t>No organizer-specific columns leak into frontend or model service interface.</w:t>
      </w:r>
    </w:p>
    <w:p>
      <w:pPr>
        <w:pStyle w:val="Heading1"/>
      </w:pPr>
      <w:r>
        <w:t>Handoff requirements</w:t>
      </w:r>
    </w:p>
    <w:p>
      <w:r>
        <w:t>Paste the following into the team channel after every stable milestone: OWNER; CURRENT BRANCH; LATEST COMMIT SHA; CONTRACT VERSION 1.0; WHAT CHANGED; COMMANDS EXECUTED; REAL TEST RESULTS (pass/fail); BLOCKER/UNKNOWN; NEEDED FROM OTHER OWNERS; NEXT STEP. Attach actual metrics only if computed. Never send "done" without reproducible evidence.</w:t>
      </w:r>
    </w:p>
    <w:p>
      <w:pPr>
        <w:pStyle w:val="Heading1"/>
      </w:pPr>
      <w:r>
        <w:t>Immediate Claude Code instruction (copy into your own session)</w:t>
      </w:r>
    </w:p>
    <w:p>
      <w:pPr>
        <w:spacing w:after="0"/>
      </w:pPr>
      <w:r>
        <w:rPr>
          <w:rFonts w:ascii="Consolas" w:hAnsi="Consolas"/>
          <w:color w:val="132940"/>
          <w:sz w:val="15"/>
        </w:rPr>
        <w:t>Implement ONLY `data/` ingestion/storage/adapters/test files for GlucoTwin master spec v1.0. Canonical interfaces are frozen. Use SQLite + SQLAlchemy, typed domain outputs, source manifests and deterministic fixture import. No ML training, targets, FastAPI routes or React. Validate true units and timestamps; create quality report. Run tests; report SHA, schema compliance, unknown official fields, and how Ruhaan should consume your DataRepository.</w:t>
      </w:r>
    </w:p>
    <w:p>
      <w:pPr>
        <w:pStyle w:val="Heading1"/>
      </w:pPr>
      <w:r>
        <w:t>Do not do / stop conditions</w:t>
      </w:r>
    </w:p>
    <w:p>
      <w:pPr>
        <w:pStyle w:val="ListBullet"/>
      </w:pPr>
      <w:r>
        <w:t>Do not independently change API shapes or database fields. Ask Ruhaan for a contract revision with concrete justification.</w:t>
      </w:r>
    </w:p>
    <w:p>
      <w:pPr>
        <w:pStyle w:val="ListBullet"/>
      </w:pPr>
      <w:r>
        <w:t>Do not call simulated results real clinical validation. Display source and uncertainty limitations.</w:t>
      </w:r>
    </w:p>
    <w:p>
      <w:pPr>
        <w:pStyle w:val="ListBullet"/>
      </w:pPr>
      <w:r>
        <w:t>Do not start speculative cloud services, paid APIs or complex optional integrations before P0 passes.</w:t>
      </w:r>
    </w:p>
    <w:p>
      <w:pPr>
        <w:pStyle w:val="ListBullet"/>
      </w:pPr>
      <w:r>
        <w:t>If official dataset release conflicts with an implementation assumption, stop modifying interfaces and file a precise mapping/impact note.</w:t>
      </w:r>
    </w:p>
    <w:p>
      <w:pPr>
        <w:pStyle w:val="ListBullet"/>
      </w:pPr>
      <w:r>
        <w:t>If an integration problem blocks you &gt;20 minutes, send a minimal reproducible issue with command, traceback or screenshot, expected and actual behavior.</w:t>
      </w:r>
    </w:p>
    <w:p>
      <w:pPr>
        <w:pStyle w:val="Heading1"/>
      </w:pPr>
      <w:r>
        <w:t>Cross-team synchronization windows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When</w:t>
            </w:r>
          </w:p>
        </w:tc>
        <w:tc>
          <w:tcPr>
            <w:tcW w:type="dxa" w:w="4939"/>
          </w:tcPr>
          <w:p>
            <w:r>
              <w:t>Required coordination</w:t>
            </w:r>
          </w:p>
        </w:tc>
      </w:tr>
      <w:tr>
        <w:tc>
          <w:tcPr>
            <w:tcW w:type="dxa" w:w="4939"/>
          </w:tcPr>
          <w:p>
            <w:r>
              <w:t>After first 30–45 minutes</w:t>
            </w:r>
          </w:p>
        </w:tc>
        <w:tc>
          <w:tcPr>
            <w:tcW w:type="dxa" w:w="4939"/>
          </w:tcPr>
          <w:p>
            <w:r>
              <w:t>All ACK frozen API and canonical data contracts; identify gaps</w:t>
            </w:r>
          </w:p>
        </w:tc>
      </w:tr>
      <w:tr>
        <w:tc>
          <w:tcPr>
            <w:tcW w:type="dxa" w:w="4939"/>
          </w:tcPr>
          <w:p>
            <w:r>
              <w:t>Saturday morning</w:t>
            </w:r>
          </w:p>
        </w:tc>
        <w:tc>
          <w:tcPr>
            <w:tcW w:type="dxa" w:w="4939"/>
          </w:tcPr>
          <w:p>
            <w:r>
              <w:t>Het delivers canonical demo data; Ruhaan provides actual predict response fixture; Neil confirms binding</w:t>
            </w:r>
          </w:p>
        </w:tc>
      </w:tr>
      <w:tr>
        <w:tc>
          <w:tcPr>
            <w:tcW w:type="dxa" w:w="4939"/>
          </w:tcPr>
          <w:p>
            <w:r>
              <w:t>Saturday afternoon</w:t>
            </w:r>
          </w:p>
        </w:tc>
        <w:tc>
          <w:tcPr>
            <w:tcW w:type="dxa" w:w="4939"/>
          </w:tcPr>
          <w:p>
            <w:r>
              <w:t>Joint local end-to-end run and missingness/negative-input review</w:t>
            </w:r>
          </w:p>
        </w:tc>
      </w:tr>
      <w:tr>
        <w:tc>
          <w:tcPr>
            <w:tcW w:type="dxa" w:w="4939"/>
          </w:tcPr>
          <w:p>
            <w:r>
              <w:t>Saturday evening</w:t>
            </w:r>
          </w:p>
        </w:tc>
        <w:tc>
          <w:tcPr>
            <w:tcW w:type="dxa" w:w="4939"/>
          </w:tcPr>
          <w:p>
            <w:r>
              <w:t>Cloud test, recorded demo walkthrough, validation metrics verified</w:t>
            </w:r>
          </w:p>
        </w:tc>
      </w:tr>
      <w:tr>
        <w:tc>
          <w:tcPr>
            <w:tcW w:type="dxa" w:w="4939"/>
          </w:tcPr>
          <w:p>
            <w:r>
              <w:t>Sunday 09:00–10:00</w:t>
            </w:r>
          </w:p>
        </w:tc>
        <w:tc>
          <w:tcPr>
            <w:tcW w:type="dxa" w:w="4939"/>
          </w:tcPr>
          <w:p>
            <w:r>
              <w:t>Final signoff, freeze, submit with buffer</w:t>
            </w:r>
          </w:p>
        </w:tc>
      </w:tr>
    </w:tbl>
    <w:sectPr w:rsidR="00FC693F" w:rsidRPr="0006063C" w:rsidSect="00034616">
      <w:headerReference w:type="default" r:id="rId9"/>
      <w:footerReference w:type="default" r:id="rId10"/>
      <w:pgSz w:w="12240" w:h="15840"/>
      <w:pgMar w:top="1037"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Version 1.0  |  October 9, 2026  |  Internal execution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GLUCOTWIN  /  RUTGERS HEALTHHACK 2026  /  CONTROLLED BUILD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7077"/>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7077"/>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707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80"/>
      <w:contextualSpacing/>
    </w:pPr>
    <w:rPr>
      <w:rFonts w:asciiTheme="majorHAnsi" w:eastAsiaTheme="majorEastAsia" w:hAnsiTheme="majorHAnsi" w:cstheme="majorBidi" w:ascii="Aptos Display" w:hAnsi="Aptos Display"/>
      <w:b/>
      <w:color w:val="13294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