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NEIL BAROT — FRONTEND &amp; EXPERIENCE MANUAL</w:t>
      </w:r>
    </w:p>
    <w:p>
      <w:pPr>
        <w:pStyle w:val="Subtitle"/>
      </w:pPr>
      <w:r>
        <w:t>Winning demonstration: frontend structure, UX, charts, API integration and QA</w:t>
      </w:r>
    </w:p>
    <w:p>
      <w:r>
        <w:t>OWNER: Neil (single accountable owner)   |   DEADLINE: Sunday October 11, 2026, 12:00 PM ET</w:t>
      </w:r>
    </w:p>
    <w:p>
      <w:pPr>
        <w:pStyle w:val="Heading1"/>
      </w:pPr>
      <w:r>
        <w:t>Mission and boundary</w:t>
      </w:r>
    </w:p>
    <w:p>
      <w:r>
        <w:t>You own the complete user-facing experience: React app, components, accessible responsive visuals, interaction states and browser testing. You do NOT implement predictive mathematics, feature attribution, synthetic physiological algorithms, or store health data independently. Always display actual backend values and source labels.</w:t>
      </w:r>
    </w:p>
    <w:p>
      <w:pPr>
        <w:pStyle w:val="Heading1"/>
      </w:pPr>
      <w:r>
        <w:t>Non-negotiable team contract</w:t>
      </w:r>
    </w:p>
    <w:p>
      <w:pPr>
        <w:pStyle w:val="ListBullet"/>
      </w:pPr>
      <w:r>
        <w:t>Master document is authoritative. The teammate manuals restate its frozen contracts; any change to API shapes, canonical columns, units, timing, or filenames requires Ruhaan approval and a single documented contract version bump.</w:t>
      </w:r>
    </w:p>
    <w:p>
      <w:pPr>
        <w:pStyle w:val="ListBullet"/>
      </w:pPr>
      <w:r>
        <w:t>Repo main must always run. Each person works on a dedicated branch: ruhaan/ml-backend, het/data-platform, neil/frontend. Pull latest main before work; use small PRs with passing checks; never force-push main.</w:t>
      </w:r>
    </w:p>
    <w:p>
      <w:pPr>
        <w:pStyle w:val="ListBullet"/>
      </w:pPr>
      <w:r>
        <w:t>No hardcoded predictions presented as model outputs. Demo fixtures are explicitly labeled. Never fabricate evaluation numbers, confidence intervals, medication efficacy, or clinical effectiveness.</w:t>
      </w:r>
    </w:p>
    <w:p>
      <w:pPr>
        <w:pStyle w:val="ListBullet"/>
      </w:pPr>
      <w:r>
        <w:t>No real identifiable patient data. Use only supplied synthetic or approved de-identified/public datasets. Never commit credentials, private access codes, tokens, large unlicensed datasets, or patient-level sensitive files.</w:t>
      </w:r>
    </w:p>
    <w:p>
      <w:pPr>
        <w:pStyle w:val="ListBullet"/>
      </w:pPr>
      <w:r>
        <w:t>Three-person eligibility must be confirmed with organizers: published team-size guidance says 4–8. This is an administrative blocker to resolve immediately, not an assumption of approval.</w:t>
      </w:r>
    </w:p>
    <w:p>
      <w:pPr>
        <w:pStyle w:val="ListBullet"/>
      </w:pPr>
      <w:r>
        <w:t>Submission is due Sunday October 11 at 12:00 PM ET; AWS access lasting longer is NOT a deadline extension. Target internal final freeze 10:00 AM ET.</w:t>
      </w:r>
    </w:p>
    <w:p>
      <w:pPr>
        <w:pStyle w:val="ListBullet"/>
      </w:pPr>
      <w:r>
        <w:t>If organizer dataset arrives: Het profiles/maps inputs, Ruhaan determines train/holdout methodology, Neil does not change display contracts. Official data takes priority over invented assumptions.</w:t>
      </w:r>
    </w:p>
    <w:p>
      <w:pPr>
        <w:pStyle w:val="ListBullet"/>
      </w:pPr>
      <w:r>
        <w:t>No medication dosing, diagnostic, or treatment advice in UI. State: research prototype using synthetic data, not for clinical decision-making.</w:t>
      </w:r>
    </w:p>
    <w:p>
      <w:pPr>
        <w:pStyle w:val="Heading1"/>
      </w:pPr>
      <w:r>
        <w:t>Frozen cross-team interface: version 1.0</w:t>
      </w:r>
    </w:p>
    <w:p>
      <w:r>
        <w:t>All datetimes are RFC3339 ISO 8601 with explicit UTC offset (prefer Z). Data layer normalizes to UTC, preserves source timezone when provided; display may localize. CGM is mg/dL, heart rate bpm, nutrition grams, calories kcal, doses preserve original units with explicit dose_unit. Participant IDs and meal IDs are opaque strings. Missing optional values are null, not silently zero.</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Field/entity</w:t>
            </w:r>
          </w:p>
        </w:tc>
        <w:tc>
          <w:tcPr>
            <w:tcW w:type="dxa" w:w="3293"/>
          </w:tcPr>
          <w:p>
            <w:r>
              <w:t>Minimum canonical fields</w:t>
            </w:r>
          </w:p>
        </w:tc>
        <w:tc>
          <w:tcPr>
            <w:tcW w:type="dxa" w:w="3293"/>
          </w:tcPr>
          <w:p>
            <w:r>
              <w:t>Rules</w:t>
            </w:r>
          </w:p>
        </w:tc>
      </w:tr>
      <w:tr>
        <w:tc>
          <w:tcPr>
            <w:tcW w:type="dxa" w:w="3293"/>
          </w:tcPr>
          <w:p>
            <w:r>
              <w:t>Participant</w:t>
            </w:r>
          </w:p>
        </w:tc>
        <w:tc>
          <w:tcPr>
            <w:tcW w:type="dxa" w:w="3293"/>
          </w:tcPr>
          <w:p>
            <w:r>
              <w:t>participant_id, display_name, data_source, timezone</w:t>
            </w:r>
          </w:p>
        </w:tc>
        <w:tc>
          <w:tcPr>
            <w:tcW w:type="dxa" w:w="3293"/>
          </w:tcPr>
          <w:p>
            <w:r>
              <w:t>No real patient identifiers in demo; synthetic display names</w:t>
            </w:r>
          </w:p>
        </w:tc>
      </w:tr>
      <w:tr>
        <w:tc>
          <w:tcPr>
            <w:tcW w:type="dxa" w:w="3293"/>
          </w:tcPr>
          <w:p>
            <w:r>
              <w:t>CGM</w:t>
            </w:r>
          </w:p>
        </w:tc>
        <w:tc>
          <w:tcPr>
            <w:tcW w:type="dxa" w:w="3293"/>
          </w:tcPr>
          <w:p>
            <w:r>
              <w:t>participant_id, timestamp, glucose_mg_dl</w:t>
            </w:r>
          </w:p>
        </w:tc>
        <w:tc>
          <w:tcPr>
            <w:tcW w:type="dxa" w:w="3293"/>
          </w:tcPr>
          <w:p>
            <w:r>
              <w:t>5-min nominal cadence; missingness allowed; reject negative/nonfinite</w:t>
            </w:r>
          </w:p>
        </w:tc>
      </w:tr>
      <w:tr>
        <w:tc>
          <w:tcPr>
            <w:tcW w:type="dxa" w:w="3293"/>
          </w:tcPr>
          <w:p>
            <w:r>
              <w:t>Heart rate</w:t>
            </w:r>
          </w:p>
        </w:tc>
        <w:tc>
          <w:tcPr>
            <w:tcW w:type="dxa" w:w="3293"/>
          </w:tcPr>
          <w:p>
            <w:r>
              <w:t>participant_id, timestamp, heart_rate_bpm, resting_heart_rate_bpm?</w:t>
            </w:r>
          </w:p>
        </w:tc>
        <w:tc>
          <w:tcPr>
            <w:tcW w:type="dxa" w:w="3293"/>
          </w:tcPr>
          <w:p>
            <w:r>
              <w:t>Optional; reject impossible/nonfinite; tolerate absent</w:t>
            </w:r>
          </w:p>
        </w:tc>
      </w:tr>
      <w:tr>
        <w:tc>
          <w:tcPr>
            <w:tcW w:type="dxa" w:w="3293"/>
          </w:tcPr>
          <w:p>
            <w:r>
              <w:t>Meal</w:t>
            </w:r>
          </w:p>
        </w:tc>
        <w:tc>
          <w:tcPr>
            <w:tcW w:type="dxa" w:w="3293"/>
          </w:tcPr>
          <w:p>
            <w:r>
              <w:t>meal_id, participant_id, timestamp, carbs_g?, protein_g?, fat_g?, fiber_g?, calories_kcal?, image_ref?</w:t>
            </w:r>
          </w:p>
        </w:tc>
        <w:tc>
          <w:tcPr>
            <w:tcW w:type="dxa" w:w="3293"/>
          </w:tcPr>
          <w:p>
            <w:r>
              <w:t>Macro values optional at ingestion; prediction requires macros or reviewed estimate</w:t>
            </w:r>
          </w:p>
        </w:tc>
      </w:tr>
      <w:tr>
        <w:tc>
          <w:tcPr>
            <w:tcW w:type="dxa" w:w="3293"/>
          </w:tcPr>
          <w:p>
            <w:r>
              <w:t>Medication</w:t>
            </w:r>
          </w:p>
        </w:tc>
        <w:tc>
          <w:tcPr>
            <w:tcW w:type="dxa" w:w="3293"/>
          </w:tcPr>
          <w:p>
            <w:r>
              <w:t>participant_id, timestamp, medication_class, dose?, dose_unit?</w:t>
            </w:r>
          </w:p>
        </w:tc>
        <w:tc>
          <w:tcPr>
            <w:tcW w:type="dxa" w:w="3293"/>
          </w:tcPr>
          <w:p>
            <w:r>
              <w:t>Optional; no assumption medication name maps to clinical effect</w:t>
            </w:r>
          </w:p>
        </w:tc>
      </w:tr>
      <w:tr>
        <w:tc>
          <w:tcPr>
            <w:tcW w:type="dxa" w:w="3293"/>
          </w:tcPr>
          <w:p>
            <w:r>
              <w:t>Activity</w:t>
            </w:r>
          </w:p>
        </w:tc>
        <w:tc>
          <w:tcPr>
            <w:tcW w:type="dxa" w:w="3293"/>
          </w:tcPr>
          <w:p>
            <w:r>
              <w:t>participant_id, timestamp, activity_value?, activity_unit?</w:t>
            </w:r>
          </w:p>
        </w:tc>
        <w:tc>
          <w:tcPr>
            <w:tcW w:type="dxa" w:w="3293"/>
          </w:tcPr>
          <w:p>
            <w:r>
              <w:t>Optional; do not require for MVP</w:t>
            </w:r>
          </w:p>
        </w:tc>
      </w:tr>
    </w:tbl>
    <w:p>
      <w:pPr>
        <w:pStyle w:val="Heading1"/>
      </w:pPr>
      <w:r>
        <w:t>Frozen REST API: version 1.0</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Method / path</w:t>
            </w:r>
          </w:p>
        </w:tc>
        <w:tc>
          <w:tcPr>
            <w:tcW w:type="dxa" w:w="4939"/>
          </w:tcPr>
          <w:p>
            <w:r>
              <w:t>Response / behavior</w:t>
            </w:r>
          </w:p>
        </w:tc>
      </w:tr>
      <w:tr>
        <w:tc>
          <w:tcPr>
            <w:tcW w:type="dxa" w:w="4939"/>
          </w:tcPr>
          <w:p>
            <w:r>
              <w:t>GET /health</w:t>
            </w:r>
          </w:p>
        </w:tc>
        <w:tc>
          <w:tcPr>
            <w:tcW w:type="dxa" w:w="4939"/>
          </w:tcPr>
          <w:p>
            <w:r>
              <w:t>{status: "ok", version: "1.0.0"}</w:t>
            </w:r>
          </w:p>
        </w:tc>
      </w:tr>
      <w:tr>
        <w:tc>
          <w:tcPr>
            <w:tcW w:type="dxa" w:w="4939"/>
          </w:tcPr>
          <w:p>
            <w:r>
              <w:t>GET /api/participants</w:t>
            </w:r>
          </w:p>
        </w:tc>
        <w:tc>
          <w:tcPr>
            <w:tcW w:type="dxa" w:w="4939"/>
          </w:tcPr>
          <w:p>
            <w:r>
              <w:t>{participants: [{participant_id, display_name, data_source, days_available}]}</w:t>
            </w:r>
          </w:p>
        </w:tc>
      </w:tr>
      <w:tr>
        <w:tc>
          <w:tcPr>
            <w:tcW w:type="dxa" w:w="4939"/>
          </w:tcPr>
          <w:p>
            <w:r>
              <w:t>GET /api/participants/{id}/history?start=&amp;end=</w:t>
            </w:r>
          </w:p>
        </w:tc>
        <w:tc>
          <w:tcPr>
            <w:tcW w:type="dxa" w:w="4939"/>
          </w:tcPr>
          <w:p>
            <w:r>
              <w:t>{participant_id, cgm: [{timestamp,glucose_mg_dl}], meals: [{meal_id,timestamp,carbs_g,...}], heart_rate: [{timestamp,heart_rate_bpm}]}</w:t>
            </w:r>
          </w:p>
        </w:tc>
      </w:tr>
      <w:tr>
        <w:tc>
          <w:tcPr>
            <w:tcW w:type="dxa" w:w="4939"/>
          </w:tcPr>
          <w:p>
            <w:r>
              <w:t>POST /api/predict</w:t>
            </w:r>
          </w:p>
        </w:tc>
        <w:tc>
          <w:tcPr>
            <w:tcW w:type="dxa" w:w="4939"/>
          </w:tcPr>
          <w:p>
            <w:r>
              <w:t>Returns ForecastResponse as specified below; 422 invalid input; 404 unknown participant; 503 untrained model</w:t>
            </w:r>
          </w:p>
        </w:tc>
      </w:tr>
      <w:tr>
        <w:tc>
          <w:tcPr>
            <w:tcW w:type="dxa" w:w="4939"/>
          </w:tcPr>
          <w:p>
            <w:r>
              <w:t>POST /api/compare</w:t>
            </w:r>
          </w:p>
        </w:tc>
        <w:tc>
          <w:tcPr>
            <w:tcW w:type="dxa" w:w="4939"/>
          </w:tcPr>
          <w:p>
            <w:r>
              <w:t>{comparison_id, forecasts: [ForecastResponse, ForecastResponse], caveat}; P1, stub optional until implemented</w:t>
            </w:r>
          </w:p>
        </w:tc>
      </w:tr>
      <w:tr>
        <w:tc>
          <w:tcPr>
            <w:tcW w:type="dxa" w:w="4939"/>
          </w:tcPr>
          <w:p>
            <w:r>
              <w:t>GET /api/model/metrics</w:t>
            </w:r>
          </w:p>
        </w:tc>
        <w:tc>
          <w:tcPr>
            <w:tcW w:type="dxa" w:w="4939"/>
          </w:tcPr>
          <w:p>
            <w:r>
              <w:t>{dataset_source, evaluation_protocol, by_model, by_horizon, sample_counts, limitations}</w:t>
            </w:r>
          </w:p>
        </w:tc>
      </w:tr>
      <w:tr>
        <w:tc>
          <w:tcPr>
            <w:tcW w:type="dxa" w:w="4939"/>
          </w:tcPr>
          <w:p>
            <w:r>
              <w:t>GET /api/model/info</w:t>
            </w:r>
          </w:p>
        </w:tc>
        <w:tc>
          <w:tcPr>
            <w:tcW w:type="dxa" w:w="4939"/>
          </w:tcPr>
          <w:p>
            <w:r>
              <w:t>{model_version, trained_at, data_source, feature_set_version, metrics_available, limitations}</w:t>
            </w:r>
          </w:p>
        </w:tc>
      </w:tr>
    </w:tbl>
    <w:p>
      <w:r>
        <w:t>Sample POST /api/predict request (fixed contract; only requestable data present at prediction time):</w:t>
      </w:r>
    </w:p>
    <w:p>
      <w:pPr>
        <w:spacing w:after="0"/>
      </w:pPr>
      <w:r>
        <w:rPr>
          <w:rFonts w:ascii="Consolas" w:hAnsi="Consolas"/>
          <w:color w:val="132940"/>
          <w:sz w:val="15"/>
        </w:rPr>
        <w:t>{</w:t>
      </w:r>
    </w:p>
    <w:p>
      <w:pPr>
        <w:spacing w:after="0"/>
      </w:pPr>
      <w:r>
        <w:rPr>
          <w:rFonts w:ascii="Consolas" w:hAnsi="Consolas"/>
          <w:color w:val="132940"/>
          <w:sz w:val="15"/>
        </w:rPr>
        <w:t xml:space="preserve">  "participant_id": "synthetic_p001",</w:t>
      </w:r>
    </w:p>
    <w:p>
      <w:pPr>
        <w:spacing w:after="0"/>
      </w:pPr>
      <w:r>
        <w:rPr>
          <w:rFonts w:ascii="Consolas" w:hAnsi="Consolas"/>
          <w:color w:val="132940"/>
          <w:sz w:val="15"/>
        </w:rPr>
        <w:t xml:space="preserve">  "meal_timestamp": "2026-10-08T12:30:00Z",</w:t>
      </w:r>
    </w:p>
    <w:p>
      <w:pPr>
        <w:spacing w:after="0"/>
      </w:pPr>
      <w:r>
        <w:rPr>
          <w:rFonts w:ascii="Consolas" w:hAnsi="Consolas"/>
          <w:color w:val="132940"/>
          <w:sz w:val="15"/>
        </w:rPr>
        <w:t xml:space="preserve">  "meal": {"carbs_g": 55, "protein_g": 22, "fat_g": 16,</w:t>
      </w:r>
    </w:p>
    <w:p>
      <w:pPr>
        <w:spacing w:after="0"/>
      </w:pPr>
      <w:r>
        <w:rPr>
          <w:rFonts w:ascii="Consolas" w:hAnsi="Consolas"/>
          <w:color w:val="132940"/>
          <w:sz w:val="15"/>
        </w:rPr>
        <w:t xml:space="preserve">           "fiber_g": 7, "calories_kcal": 460},</w:t>
      </w:r>
    </w:p>
    <w:p>
      <w:pPr>
        <w:spacing w:after="0"/>
      </w:pPr>
      <w:r>
        <w:rPr>
          <w:rFonts w:ascii="Consolas" w:hAnsi="Consolas"/>
          <w:color w:val="132940"/>
          <w:sz w:val="15"/>
        </w:rPr>
        <w:t xml:space="preserve">  "context_override": null</w:t>
      </w:r>
    </w:p>
    <w:p>
      <w:pPr>
        <w:spacing w:after="0"/>
      </w:pPr>
      <w:r>
        <w:rPr>
          <w:rFonts w:ascii="Consolas" w:hAnsi="Consolas"/>
          <w:color w:val="132940"/>
          <w:sz w:val="15"/>
        </w:rPr>
        <w:t>}</w:t>
      </w:r>
    </w:p>
    <w:p>
      <w:r>
        <w:t>Sample response shape (numbers below are illustrative placeholders, NEVER validation claims):</w:t>
      </w:r>
    </w:p>
    <w:p>
      <w:pPr>
        <w:spacing w:after="0"/>
      </w:pPr>
      <w:r>
        <w:rPr>
          <w:rFonts w:ascii="Consolas" w:hAnsi="Consolas"/>
          <w:color w:val="132940"/>
          <w:sz w:val="15"/>
        </w:rPr>
        <w:t>{</w:t>
      </w:r>
    </w:p>
    <w:p>
      <w:pPr>
        <w:spacing w:after="0"/>
      </w:pPr>
      <w:r>
        <w:rPr>
          <w:rFonts w:ascii="Consolas" w:hAnsi="Consolas"/>
          <w:color w:val="132940"/>
          <w:sz w:val="15"/>
        </w:rPr>
        <w:t xml:space="preserve">  "participant_id": "synthetic_p001",</w:t>
      </w:r>
    </w:p>
    <w:p>
      <w:pPr>
        <w:spacing w:after="0"/>
      </w:pPr>
      <w:r>
        <w:rPr>
          <w:rFonts w:ascii="Consolas" w:hAnsi="Consolas"/>
          <w:color w:val="132940"/>
          <w:sz w:val="15"/>
        </w:rPr>
        <w:t xml:space="preserve">  "meal_timestamp": "2026-10-08T12:30:00Z",</w:t>
      </w:r>
    </w:p>
    <w:p>
      <w:pPr>
        <w:spacing w:after="0"/>
      </w:pPr>
      <w:r>
        <w:rPr>
          <w:rFonts w:ascii="Consolas" w:hAnsi="Consolas"/>
          <w:color w:val="132940"/>
          <w:sz w:val="15"/>
        </w:rPr>
        <w:t xml:space="preserve">  "model_version": "v0.1.0", "data_source": "synthetic_dev",</w:t>
      </w:r>
    </w:p>
    <w:p>
      <w:pPr>
        <w:spacing w:after="0"/>
      </w:pPr>
      <w:r>
        <w:rPr>
          <w:rFonts w:ascii="Consolas" w:hAnsi="Consolas"/>
          <w:color w:val="132940"/>
          <w:sz w:val="15"/>
        </w:rPr>
        <w:t xml:space="preserve">  "prediction_status": "personalized",</w:t>
      </w:r>
    </w:p>
    <w:p>
      <w:pPr>
        <w:spacing w:after="0"/>
      </w:pPr>
      <w:r>
        <w:rPr>
          <w:rFonts w:ascii="Consolas" w:hAnsi="Consolas"/>
          <w:color w:val="132940"/>
          <w:sz w:val="15"/>
        </w:rPr>
        <w:t xml:space="preserve">  "points": [{"minute": 0, "glucose_mg_dl": 105.0,</w:t>
      </w:r>
    </w:p>
    <w:p>
      <w:pPr>
        <w:spacing w:after="0"/>
      </w:pPr>
      <w:r>
        <w:rPr>
          <w:rFonts w:ascii="Consolas" w:hAnsi="Consolas"/>
          <w:color w:val="132940"/>
          <w:sz w:val="15"/>
        </w:rPr>
        <w:t xml:space="preserve">              "lower_mg_dl": null, "upper_mg_dl": null}],</w:t>
      </w:r>
    </w:p>
    <w:p>
      <w:pPr>
        <w:spacing w:after="0"/>
      </w:pPr>
      <w:r>
        <w:rPr>
          <w:rFonts w:ascii="Consolas" w:hAnsi="Consolas"/>
          <w:color w:val="132940"/>
          <w:sz w:val="15"/>
        </w:rPr>
        <w:t xml:space="preserve">  "glucose_at_minutes": {"30": 124, "60": 146, "90": 139, "120": 118},</w:t>
      </w:r>
    </w:p>
    <w:p>
      <w:pPr>
        <w:spacing w:after="0"/>
      </w:pPr>
      <w:r>
        <w:rPr>
          <w:rFonts w:ascii="Consolas" w:hAnsi="Consolas"/>
          <w:color w:val="132940"/>
          <w:sz w:val="15"/>
        </w:rPr>
        <w:t xml:space="preserve">  "metrics": {"peak_mg_dl": 146, "peak_delta_mg_dl": 41,</w:t>
      </w:r>
    </w:p>
    <w:p>
      <w:pPr>
        <w:spacing w:after="0"/>
      </w:pPr>
      <w:r>
        <w:rPr>
          <w:rFonts w:ascii="Consolas" w:hAnsi="Consolas"/>
          <w:color w:val="132940"/>
          <w:sz w:val="15"/>
        </w:rPr>
        <w:t xml:space="preserve">              "time_to_peak_minutes": 60, "incremental_auc_mg_dl_min": 3200},</w:t>
      </w:r>
    </w:p>
    <w:p>
      <w:pPr>
        <w:spacing w:after="0"/>
      </w:pPr>
      <w:r>
        <w:rPr>
          <w:rFonts w:ascii="Consolas" w:hAnsi="Consolas"/>
          <w:color w:val="132940"/>
          <w:sz w:val="15"/>
        </w:rPr>
        <w:t xml:space="preserve">  "drivers": [{"feature": "carbs_g", "contribution_mg_dl": 12.5,</w:t>
      </w:r>
    </w:p>
    <w:p>
      <w:pPr>
        <w:spacing w:after="0"/>
      </w:pPr>
      <w:r>
        <w:rPr>
          <w:rFonts w:ascii="Consolas" w:hAnsi="Consolas"/>
          <w:color w:val="132940"/>
          <w:sz w:val="15"/>
        </w:rPr>
        <w:t xml:space="preserve">               "explanation": "Model-based contribution"}],</w:t>
      </w:r>
    </w:p>
    <w:p>
      <w:pPr>
        <w:spacing w:after="0"/>
      </w:pPr>
      <w:r>
        <w:rPr>
          <w:rFonts w:ascii="Consolas" w:hAnsi="Consolas"/>
          <w:color w:val="132940"/>
          <w:sz w:val="15"/>
        </w:rPr>
        <w:t xml:space="preserve">  "uncertainty_status": "not_calibrated",</w:t>
      </w:r>
    </w:p>
    <w:p>
      <w:pPr>
        <w:spacing w:after="0"/>
      </w:pPr>
      <w:r>
        <w:rPr>
          <w:rFonts w:ascii="Consolas" w:hAnsi="Consolas"/>
          <w:color w:val="132940"/>
          <w:sz w:val="15"/>
        </w:rPr>
        <w:t xml:space="preserve">  "limitations": ["Synthetic research demonstration; not medical advice"]</w:t>
      </w:r>
    </w:p>
    <w:p>
      <w:pPr>
        <w:spacing w:after="0"/>
      </w:pPr>
      <w:r>
        <w:rPr>
          <w:rFonts w:ascii="Consolas" w:hAnsi="Consolas"/>
          <w:color w:val="132940"/>
          <w:sz w:val="15"/>
        </w:rPr>
        <w:t>}</w:t>
      </w:r>
    </w:p>
    <w:p>
      <w:r>
        <w:t>points MUST have 25 entries at minutes 0,5,...,120. lower/upper remain null unless evaluated intervals exist. glucose_at_minutes is derived from points, not independently invented. iAUC = five-minute trapezoidal integration of max(predicted glucose − baseline glucose, 0) in mg/dL·min. Peak/time-to-peak are computed on the sampled curve, with earliest-tie peak. Do not confuse iAUC with signed net excursion.</w:t>
      </w:r>
    </w:p>
    <w:p>
      <w:pPr>
        <w:pStyle w:val="Heading1"/>
      </w:pPr>
      <w:r>
        <w:t>Integration message protocol</w:t>
      </w:r>
    </w:p>
    <w:p>
      <w:r>
        <w:t>Every PR or handoff message must contain: OWNER | BRANCH | COMMIT SHA | CONTRACT VERSION | CHANGED FILES | HOW TO RUN | TEST COMMAND + ACTUAL RESULT | BLOCKERS | NEXT HANDOFF. If a producer changes a schema, attach a migration note and update contract docs and tests in the same PR. No undocumented changes via Discord.</w:t>
      </w:r>
    </w:p>
    <w:p>
      <w:pPr>
        <w:pStyle w:val="Heading1"/>
      </w:pPr>
      <w:r>
        <w:t>Your locked file ownership</w:t>
      </w:r>
    </w:p>
    <w:p>
      <w:r>
        <w:t>OWN: frontend/**, docs/frontend.md and frontend-focused tests. CONSUME: contracts/openapi.yaml and JSON fixtures. DO NOT modify backend or data-layer business logic.</w:t>
      </w:r>
    </w:p>
    <w:p>
      <w:pPr>
        <w:pStyle w:val="Heading1"/>
      </w:pPr>
      <w:r>
        <w:t>Exact phased execution checklist</w:t>
      </w:r>
    </w:p>
    <w:p>
      <w:pPr>
        <w:pStyle w:val="Heading2"/>
      </w:pPr>
      <w:r>
        <w:t>N0 — Contract and scaffolding; 45 minutes</w:t>
      </w:r>
    </w:p>
    <w:p>
      <w:pPr>
        <w:pStyle w:val="ListNumber"/>
      </w:pPr>
      <w:r>
        <w:t>Read master v1.0 and post ACK of endpoint names, units, Response JSON shapes and error codes.</w:t>
      </w:r>
    </w:p>
    <w:p>
      <w:pPr>
        <w:pStyle w:val="ListNumber"/>
      </w:pPr>
      <w:r>
        <w:t>Use Vite React TypeScript, Tailwind CSS and Recharts. Write API module with typed Request/Response and configurable VITE_API_BASE_URL.</w:t>
      </w:r>
    </w:p>
    <w:p>
      <w:pPr>
        <w:pStyle w:val="ListNumber"/>
      </w:pPr>
      <w:r>
        <w:t>Build app router/navigation: Overview, Predict Meal, Compare Meals (optional), Model Insights; avoid additional pages.</w:t>
      </w:r>
    </w:p>
    <w:p>
      <w:pPr>
        <w:pStyle w:val="ListNumber"/>
      </w:pPr>
      <w:r>
        <w:t>Set design tokens: white/off-white backdrop, dark navy typography, restrained teal for predictions, accessible contrast and readable values.</w:t>
      </w:r>
    </w:p>
    <w:p>
      <w:pPr>
        <w:pStyle w:val="Heading2"/>
      </w:pPr>
      <w:r>
        <w:t>N1 — Read-only history dashboard; 2 hours</w:t>
      </w:r>
    </w:p>
    <w:p>
      <w:pPr>
        <w:pStyle w:val="ListNumber"/>
      </w:pPr>
      <w:r>
        <w:t>Participant dropdown from GET /api/participants; if backend unavailable use separate dev-only fixture clearly tagged DEMO MOCK.</w:t>
      </w:r>
    </w:p>
    <w:p>
      <w:pPr>
        <w:pStyle w:val="ListNumber"/>
      </w:pPr>
      <w:r>
        <w:t>Use CGM time-series graph, date-range summary, meal annotation markers, participant metadata and source banner.</w:t>
      </w:r>
    </w:p>
    <w:p>
      <w:pPr>
        <w:pStyle w:val="ListNumber"/>
      </w:pPr>
      <w:r>
        <w:t>Handle loading, empty, no meals, missing HR, API error and narrow mobile viewport; no fake real-time CGM indicator.</w:t>
      </w:r>
    </w:p>
    <w:p>
      <w:pPr>
        <w:pStyle w:val="ListNumber"/>
      </w:pPr>
      <w:r>
        <w:t>Display 5-minute data carefully without plotting thousands of overly dense labels; use tooltip timestamp in selected timezone.</w:t>
      </w:r>
    </w:p>
    <w:p>
      <w:pPr>
        <w:pStyle w:val="Heading2"/>
      </w:pPr>
      <w:r>
        <w:t>N2 — Day 8 prediction journey; 2–3 hours</w:t>
      </w:r>
    </w:p>
    <w:p>
      <w:pPr>
        <w:pStyle w:val="ListNumber"/>
      </w:pPr>
      <w:r>
        <w:t>Nutrition form: carbs/protein/fat/fiber grams; kcal optionally computed but user-editable; prevent negatives/nonfinite, show physical units, require valid participant and timestamp.</w:t>
      </w:r>
    </w:p>
    <w:p>
      <w:pPr>
        <w:pStyle w:val="ListNumber"/>
      </w:pPr>
      <w:r>
        <w:t>Click Predict -&gt; POST /api/predict -&gt; plot points 0 to 120 min; prominent values at 30/60/90/120, peak glucose, peak delta, time-to-peak and iAUC.</w:t>
      </w:r>
    </w:p>
    <w:p>
      <w:pPr>
        <w:pStyle w:val="ListNumber"/>
      </w:pPr>
      <w:r>
        <w:t>Show prediction_status personalized/generalized_fallback, data_source, model_version and disclaimer on prediction screen.</w:t>
      </w:r>
    </w:p>
    <w:p>
      <w:pPr>
        <w:pStyle w:val="ListNumber"/>
      </w:pPr>
      <w:r>
        <w:t>If lower/upper null, do not draw uncertainty band; show "uncertainty not calibrated" instead of guessing intervals.</w:t>
      </w:r>
    </w:p>
    <w:p>
      <w:pPr>
        <w:pStyle w:val="ListNumber"/>
      </w:pPr>
      <w:r>
        <w:t>Feature drivers come directly from `drivers` response; when absent show honest unavailable text, never static explanation masquerading as attribution.</w:t>
      </w:r>
    </w:p>
    <w:p>
      <w:pPr>
        <w:pStyle w:val="Heading2"/>
      </w:pPr>
      <w:r>
        <w:t>N3 — Comparative wow moment and interpretability; 2 hours</w:t>
      </w:r>
    </w:p>
    <w:p>
      <w:pPr>
        <w:pStyle w:val="ListNumber"/>
      </w:pPr>
      <w:r>
        <w:t>If API /compare exists, add side-by-side same meal comparison for two participant IDs or two meals; label simulations, not dietary recommendations.</w:t>
      </w:r>
    </w:p>
    <w:p>
      <w:pPr>
        <w:pStyle w:val="ListNumber"/>
      </w:pPr>
      <w:r>
        <w:t>Build Model Insights with GET /api/model/metrics; show sample counts, data source, split protocol, generalized/personalized performance and caveats; if absent show no validated metrics.</w:t>
      </w:r>
    </w:p>
    <w:p>
      <w:pPr>
        <w:pStyle w:val="ListNumber"/>
      </w:pPr>
      <w:r>
        <w:t>Make key interaction &lt;60 seconds in live demo from participant selection through meaningful personalized prediction and explanation.</w:t>
      </w:r>
    </w:p>
    <w:p>
      <w:pPr>
        <w:pStyle w:val="ListNumber"/>
      </w:pPr>
      <w:r>
        <w:t>Ensure keyboard navigation, labels, semantic errors, contrast, chart descriptions and responsive layout.</w:t>
      </w:r>
    </w:p>
    <w:p>
      <w:pPr>
        <w:pStyle w:val="Heading2"/>
      </w:pPr>
      <w:r>
        <w:t>N4 — True integration and demo polish</w:t>
      </w:r>
    </w:p>
    <w:p>
      <w:pPr>
        <w:pStyle w:val="ListNumber"/>
      </w:pPr>
      <w:r>
        <w:t>Replace demo-only mock services with live API; smoke against running backend and real generated response.</w:t>
      </w:r>
    </w:p>
    <w:p>
      <w:pPr>
        <w:pStyle w:val="ListNumber"/>
      </w:pPr>
      <w:r>
        <w:t>Test retry, timeout, 404, 422, 503, unexpected nulls, long participant names, history with gaps and mobile width.</w:t>
      </w:r>
    </w:p>
    <w:p>
      <w:pPr>
        <w:pStyle w:val="ListNumber"/>
      </w:pPr>
      <w:r>
        <w:t>Run `npm run build` and automated component tests if configured; avoid unnecessary heavyweight test infrastructure at deadline.</w:t>
      </w:r>
    </w:p>
    <w:p>
      <w:pPr>
        <w:pStyle w:val="ListNumber"/>
      </w:pPr>
      <w:r>
        <w:t>Produce 4 screenshots, a 45-second recorded happy-path clip, and a readme with frontend setup. Hand over screenshot paths and SHA to Ruhaan.</w:t>
      </w:r>
    </w:p>
    <w:p>
      <w:pPr>
        <w:pStyle w:val="Heading1"/>
      </w:pPr>
      <w:r>
        <w:t>Acceptance gate — cannot hand off until each passes</w:t>
      </w:r>
    </w:p>
    <w:p>
      <w:pPr>
        <w:pStyle w:val="ListBullet"/>
      </w:pPr>
      <w:r>
        <w:t>App loads and visibly identifies current dataset as synthetic/official.</w:t>
      </w:r>
    </w:p>
    <w:p>
      <w:pPr>
        <w:pStyle w:val="ListBullet"/>
      </w:pPr>
      <w:r>
        <w:t>Judge can switch participant, enter a meal, predict, inspect time series and core metrics.</w:t>
      </w:r>
    </w:p>
    <w:p>
      <w:pPr>
        <w:pStyle w:val="ListBullet"/>
      </w:pPr>
      <w:r>
        <w:t>No hardcoded clinical prediction display after API integration.</w:t>
      </w:r>
    </w:p>
    <w:p>
      <w:pPr>
        <w:pStyle w:val="ListBullet"/>
      </w:pPr>
      <w:r>
        <w:t>API failure and missing optional features are handled without blank screen.</w:t>
      </w:r>
    </w:p>
    <w:p>
      <w:pPr>
        <w:pStyle w:val="ListBullet"/>
      </w:pPr>
      <w:r>
        <w:t>Charts are labeled mg/dL and minutes, and intervals only if actual bounds returned.</w:t>
      </w:r>
    </w:p>
    <w:p>
      <w:pPr>
        <w:pStyle w:val="ListBullet"/>
      </w:pPr>
      <w:r>
        <w:t>`npm run build` passes and demo operates at laptop resolution plus a narrow screen.</w:t>
      </w:r>
    </w:p>
    <w:p>
      <w:pPr>
        <w:pStyle w:val="Heading1"/>
      </w:pPr>
      <w:r>
        <w:t>Handoff requirements</w:t>
      </w:r>
    </w:p>
    <w:p>
      <w:r>
        <w:t>Paste the following into the team channel after every stable milestone: OWNER; CURRENT BRANCH; LATEST COMMIT SHA; CONTRACT VERSION 1.0; WHAT CHANGED; COMMANDS EXECUTED; REAL TEST RESULTS (pass/fail); BLOCKER/UNKNOWN; NEEDED FROM OTHER OWNERS; NEXT STEP. Attach actual metrics only if computed. Never send "done" without reproducible evidence.</w:t>
      </w:r>
    </w:p>
    <w:p>
      <w:pPr>
        <w:pStyle w:val="Heading1"/>
      </w:pPr>
      <w:r>
        <w:t>Immediate Claude Code instruction (copy into your own session)</w:t>
      </w:r>
    </w:p>
    <w:p>
      <w:pPr>
        <w:spacing w:after="0"/>
      </w:pPr>
      <w:r>
        <w:rPr>
          <w:rFonts w:ascii="Consolas" w:hAnsi="Consolas"/>
          <w:color w:val="132940"/>
          <w:sz w:val="15"/>
        </w:rPr>
        <w:t>Implement ONLY `frontend/` for GlucoTwin master v1.0 using React/TypeScript/Vite/Tailwind/Recharts. Honor fixed JSON APIs and type definitions. Start with typed mock fixtures but clearly tag them as DEV MOCK and centralize in one file; then swap to real FastAPI responses. Do not create fake clinical outputs, compute feature importance or change API shape. Implement dashboard + meal prediction first, handle 404/422/503/null bounds, build and test, send SHA and video-ready run commands.</w:t>
      </w:r>
    </w:p>
    <w:p>
      <w:pPr>
        <w:pStyle w:val="Heading1"/>
      </w:pPr>
      <w:r>
        <w:t>Do not do / stop conditions</w:t>
      </w:r>
    </w:p>
    <w:p>
      <w:pPr>
        <w:pStyle w:val="ListBullet"/>
      </w:pPr>
      <w:r>
        <w:t>Do not independently change API shapes or database fields. Ask Ruhaan for a contract revision with concrete justification.</w:t>
      </w:r>
    </w:p>
    <w:p>
      <w:pPr>
        <w:pStyle w:val="ListBullet"/>
      </w:pPr>
      <w:r>
        <w:t>Do not call simulated results real clinical validation. Display source and uncertainty limitations.</w:t>
      </w:r>
    </w:p>
    <w:p>
      <w:pPr>
        <w:pStyle w:val="ListBullet"/>
      </w:pPr>
      <w:r>
        <w:t>Do not start speculative cloud services, paid APIs or complex optional integrations before P0 passes.</w:t>
      </w:r>
    </w:p>
    <w:p>
      <w:pPr>
        <w:pStyle w:val="ListBullet"/>
      </w:pPr>
      <w:r>
        <w:t>If official dataset release conflicts with an implementation assumption, stop modifying interfaces and file a precise mapping/impact note.</w:t>
      </w:r>
    </w:p>
    <w:p>
      <w:pPr>
        <w:pStyle w:val="ListBullet"/>
      </w:pPr>
      <w:r>
        <w:t>If an integration problem blocks you &gt;20 minutes, send a minimal reproducible issue with command, traceback or screenshot, expected and actual behavior.</w:t>
      </w:r>
    </w:p>
    <w:p>
      <w:pPr>
        <w:pStyle w:val="Heading1"/>
      </w:pPr>
      <w:r>
        <w:t>Cross-team synchronization windows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When</w:t>
            </w:r>
          </w:p>
        </w:tc>
        <w:tc>
          <w:tcPr>
            <w:tcW w:type="dxa" w:w="4939"/>
          </w:tcPr>
          <w:p>
            <w:r>
              <w:t>Required coordination</w:t>
            </w:r>
          </w:p>
        </w:tc>
      </w:tr>
      <w:tr>
        <w:tc>
          <w:tcPr>
            <w:tcW w:type="dxa" w:w="4939"/>
          </w:tcPr>
          <w:p>
            <w:r>
              <w:t>After first 30–45 minutes</w:t>
            </w:r>
          </w:p>
        </w:tc>
        <w:tc>
          <w:tcPr>
            <w:tcW w:type="dxa" w:w="4939"/>
          </w:tcPr>
          <w:p>
            <w:r>
              <w:t>All ACK frozen API and canonical data contracts; identify gaps</w:t>
            </w:r>
          </w:p>
        </w:tc>
      </w:tr>
      <w:tr>
        <w:tc>
          <w:tcPr>
            <w:tcW w:type="dxa" w:w="4939"/>
          </w:tcPr>
          <w:p>
            <w:r>
              <w:t>Saturday morning</w:t>
            </w:r>
          </w:p>
        </w:tc>
        <w:tc>
          <w:tcPr>
            <w:tcW w:type="dxa" w:w="4939"/>
          </w:tcPr>
          <w:p>
            <w:r>
              <w:t>Het delivers canonical demo data; Ruhaan provides actual predict response fixture; Neil confirms binding</w:t>
            </w:r>
          </w:p>
        </w:tc>
      </w:tr>
      <w:tr>
        <w:tc>
          <w:tcPr>
            <w:tcW w:type="dxa" w:w="4939"/>
          </w:tcPr>
          <w:p>
            <w:r>
              <w:t>Saturday afternoon</w:t>
            </w:r>
          </w:p>
        </w:tc>
        <w:tc>
          <w:tcPr>
            <w:tcW w:type="dxa" w:w="4939"/>
          </w:tcPr>
          <w:p>
            <w:r>
              <w:t>Joint local end-to-end run and missingness/negative-input review</w:t>
            </w:r>
          </w:p>
        </w:tc>
      </w:tr>
      <w:tr>
        <w:tc>
          <w:tcPr>
            <w:tcW w:type="dxa" w:w="4939"/>
          </w:tcPr>
          <w:p>
            <w:r>
              <w:t>Saturday evening</w:t>
            </w:r>
          </w:p>
        </w:tc>
        <w:tc>
          <w:tcPr>
            <w:tcW w:type="dxa" w:w="4939"/>
          </w:tcPr>
          <w:p>
            <w:r>
              <w:t>Cloud test, recorded demo walkthrough, validation metrics verified</w:t>
            </w:r>
          </w:p>
        </w:tc>
      </w:tr>
      <w:tr>
        <w:tc>
          <w:tcPr>
            <w:tcW w:type="dxa" w:w="4939"/>
          </w:tcPr>
          <w:p>
            <w:r>
              <w:t>Sunday 09:00–10:00</w:t>
            </w:r>
          </w:p>
        </w:tc>
        <w:tc>
          <w:tcPr>
            <w:tcW w:type="dxa" w:w="4939"/>
          </w:tcPr>
          <w:p>
            <w:r>
              <w:t>Final signoff, freeze, submit with buffer</w:t>
            </w:r>
          </w:p>
        </w:tc>
      </w:tr>
    </w:tbl>
    <w:sectPr w:rsidR="00FC693F" w:rsidRPr="0006063C" w:rsidSect="00034616">
      <w:headerReference w:type="default" r:id="rId9"/>
      <w:footerReference w:type="default" r:id="rId10"/>
      <w:pgSz w:w="12240" w:h="15840"/>
      <w:pgMar w:top="1037"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Version 1.0  |  October 9, 2026  |  Internal execution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GLUCOTWIN  /  RUTGERS HEALTHHACK 2026  /  CONTROLLED BUILD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7077"/>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7077"/>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707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80"/>
      <w:contextualSpacing/>
    </w:pPr>
    <w:rPr>
      <w:rFonts w:asciiTheme="majorHAnsi" w:eastAsiaTheme="majorEastAsia" w:hAnsiTheme="majorHAnsi" w:cstheme="majorBidi" w:ascii="Aptos Display" w:hAnsi="Aptos Display"/>
      <w:b/>
      <w:color w:val="1329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