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ThreatFusion: How It Works</w:t>
      </w:r>
    </w:p>
    <w:p>
      <w:pPr>
        <w:spacing w:after="320"/>
      </w:pPr>
      <w:r>
        <w:rPr>
          <w:rFonts w:ascii="Calibri" w:hAnsi="Calibri"/>
          <w:color w:val="596878"/>
          <w:sz w:val="26"/>
        </w:rPr>
        <w:t>A simple explanation of defense telemetry, actionable incidents, and response guidance</w:t>
      </w:r>
    </w:p>
    <w:p>
      <w:pPr>
        <w:spacing w:after="280"/>
      </w:pPr>
      <w:r>
        <w:rPr>
          <w:rFonts w:ascii="Calibri" w:hAnsi="Calibri"/>
          <w:b/>
          <w:sz w:val="20"/>
        </w:rPr>
        <w:t xml:space="preserve">Purpose: </w:t>
      </w:r>
      <w:r>
        <w:rPr>
          <w:rFonts w:ascii="Calibri" w:hAnsi="Calibri"/>
          <w:sz w:val="20"/>
        </w:rPr>
        <w:t>Explain how the system turns many security alerts into a small number of incidents the defense team can act on.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What the system does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ThreatFusion is a defense operations tool. It takes alerts from security tools, looks for events that belong together, and presents only the cases that have enough evidence to justify action.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It does not automatically block systems or claim to identify an attacker. A human analyst reviews the evidence and approves any response.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The simple workflow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1. Ingest: </w:t>
      </w:r>
      <w:r>
        <w:rPr>
          <w:rFonts w:ascii="Calibri" w:hAnsi="Calibri"/>
          <w:sz w:val="22"/>
        </w:rPr>
        <w:t>Receive telemetry from CTI reports, SIEM logs, endpoint tools, and network sensors.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2. Connect: </w:t>
      </w:r>
      <w:r>
        <w:rPr>
          <w:rFonts w:ascii="Calibri" w:hAnsi="Calibri"/>
          <w:sz w:val="22"/>
        </w:rPr>
        <w:t>Group alerts that share a host, user, IP address, or confirmed indicator and occur close together in time.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3. Understand: </w:t>
      </w:r>
      <w:r>
        <w:rPr>
          <w:rFonts w:ascii="Calibri" w:hAnsi="Calibri"/>
          <w:sz w:val="22"/>
        </w:rPr>
        <w:t>Map suspicious behavior to MITRE ATT&amp;CK techniques and check whether the activity follows a believable attack sequence.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4. Validate: </w:t>
      </w:r>
      <w:r>
        <w:rPr>
          <w:rFonts w:ascii="Calibri" w:hAnsi="Calibri"/>
          <w:sz w:val="22"/>
        </w:rPr>
        <w:t>Score the evidence, check the number and independence of sources, and reduce confidence when benign context is present.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5. Respond: </w:t>
      </w:r>
      <w:r>
        <w:rPr>
          <w:rFonts w:ascii="Calibri" w:hAnsi="Calibri"/>
          <w:sz w:val="22"/>
        </w:rPr>
        <w:t>Promote only validated cases to actionable incidents, then show the analyst a short runbook and evidence summary.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When an incident becomes actionable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candidate is promoted only when every check below is met. This prevents a single noisy alert from becoming an incident.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1F4D78"/>
                <w:sz w:val="20"/>
              </w:rPr>
              <w:t>Check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1F4D78"/>
                <w:sz w:val="20"/>
              </w:rPr>
              <w:t>Required benchmark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Behavior evidence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At least 2 mapped ATT&amp;CK technique events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Attack progression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At least 2 tactics and an attack-flow score of 0.50 or above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Evidence confidence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55% or above after corroboration and any contradiction penalties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Source independence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</w:pPr>
            <w:r>
              <w:rPr>
                <w:rFonts w:ascii="Calibri" w:hAnsi="Calibri"/>
                <w:sz w:val="20"/>
              </w:rPr>
              <w:t>50% or above, so one repeated source does not dominate the result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How priority is decided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After promotion, the system assigns a priority score. The score is 45% evidence confidence, 25% threat severity, 20% mission impact, and 10% urgency. A P1 is 82 or higher; P2 is 65 or higher.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Confidence: </w:t>
      </w:r>
      <w:r>
        <w:rPr>
          <w:rFonts w:ascii="Calibri" w:hAnsi="Calibri"/>
          <w:sz w:val="22"/>
        </w:rPr>
        <w:t>Do several independent sources and techniques support the same case?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Severity: </w:t>
      </w:r>
      <w:r>
        <w:rPr>
          <w:rFonts w:ascii="Calibri" w:hAnsi="Calibri"/>
          <w:sz w:val="22"/>
        </w:rPr>
        <w:t>How risky are the observed techniques?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Mission impact: </w:t>
      </w:r>
      <w:r>
        <w:rPr>
          <w:rFonts w:ascii="Calibri" w:hAnsi="Calibri"/>
          <w:sz w:val="22"/>
        </w:rPr>
        <w:t>Does the case involve an important business or mission system?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Urgency: </w:t>
      </w:r>
      <w:r>
        <w:rPr>
          <w:rFonts w:ascii="Calibri" w:hAnsi="Calibri"/>
          <w:sz w:val="22"/>
        </w:rPr>
        <w:t>Does the activity look active and fast-moving?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What the analyst sees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For each actionable incident, the console provides a plain-language summary, observed timeline, supporting and weakening evidence, risk score, affected assets, and recommended defensive actions.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Defense feed: </w:t>
      </w:r>
      <w:r>
        <w:rPr>
          <w:rFonts w:ascii="Calibri" w:hAnsi="Calibri"/>
          <w:sz w:val="22"/>
        </w:rPr>
        <w:t>The bundled demo can ingest 18 production-shaped synthetic records. The sample includes normal activity as well as one correlated intrusion sequence.</w:t>
      </w:r>
    </w:p>
    <w:p>
      <w:pPr>
        <w:spacing w:after="100" w:line="264" w:lineRule="auto"/>
        <w:ind w:left="317" w:hanging="317"/>
      </w:pPr>
      <w:r>
        <w:rPr>
          <w:rFonts w:ascii="Calibri" w:hAnsi="Calibri"/>
          <w:b/>
          <w:color w:val="2E74B5"/>
          <w:sz w:val="22"/>
        </w:rPr>
        <w:t xml:space="preserve">• </w:t>
      </w:r>
      <w:r>
        <w:rPr>
          <w:rFonts w:ascii="Calibri" w:hAnsi="Calibri"/>
          <w:b/>
          <w:sz w:val="22"/>
        </w:rPr>
        <w:t xml:space="preserve">IBM Bob: </w:t>
      </w:r>
      <w:r>
        <w:rPr>
          <w:rFonts w:ascii="Calibri" w:hAnsi="Calibri"/>
          <w:sz w:val="22"/>
        </w:rPr>
        <w:t>Bob answers questions about the selected case using only grounded case facts. It gives concise answers about priority, evidence, gaps, and the incident runbook.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Important limits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prototype is designed for demonstration and analyst support. Its bundled data is synthetic, and its offline benchmark is not a production accuracy claim. A real deployment needs customer-approved telemetry, larger labeled datasets, ongoing threshold calibration, and analyst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878"/>
        <w:sz w:val="18"/>
      </w:rPr>
      <w:t>Internal demo report | Synthetic telemetry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878"/>
        <w:sz w:val="18"/>
      </w:rPr>
      <w:t>ThreatFusion | Simple Workflow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