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746" w:rsidRPr="001451A1" w:rsidRDefault="00FE38E6">
      <w:pPr>
        <w:pStyle w:val="Textbody"/>
        <w:rPr>
          <w:rFonts w:ascii="Times New Roman" w:hAnsi="Times New Roman" w:cs="Times New Roman"/>
          <w:b/>
          <w:sz w:val="26"/>
          <w:szCs w:val="26"/>
        </w:rPr>
      </w:pPr>
      <w:bookmarkStart w:id="0" w:name="docs-internal-guid-dbdbbf04-7fff-b9fd-b3"/>
      <w:bookmarkEnd w:id="0"/>
      <w:r w:rsidRPr="001451A1">
        <w:rPr>
          <w:rFonts w:ascii="Times New Roman" w:hAnsi="Times New Roman" w:cs="Times New Roman"/>
          <w:b/>
          <w:sz w:val="26"/>
          <w:szCs w:val="26"/>
        </w:rPr>
        <w:t>Практическая работа № 4 </w:t>
      </w:r>
    </w:p>
    <w:p w:rsidR="00445746" w:rsidRPr="001451A1" w:rsidRDefault="00FE38E6">
      <w:pPr>
        <w:pStyle w:val="Textbody"/>
        <w:shd w:val="clear" w:color="auto" w:fill="FFFFFF"/>
        <w:spacing w:after="0" w:line="288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451A1">
        <w:rPr>
          <w:rFonts w:ascii="Times New Roman" w:hAnsi="Times New Roman" w:cs="Times New Roman"/>
          <w:b/>
          <w:i/>
          <w:sz w:val="26"/>
          <w:szCs w:val="26"/>
        </w:rPr>
        <w:t>ГИГИЕНИЧЕСКАЯ ОЦЕНКА УСЛОВИЙ ТРУДА И ПРОИЗВОДСТВЕННОЙ ПЫЛИ</w:t>
      </w:r>
    </w:p>
    <w:p w:rsidR="00445746" w:rsidRPr="001451A1" w:rsidRDefault="00FE38E6">
      <w:pPr>
        <w:pStyle w:val="Textbody"/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1451A1">
        <w:rPr>
          <w:rFonts w:ascii="Times New Roman" w:hAnsi="Times New Roman" w:cs="Times New Roman"/>
          <w:b/>
          <w:sz w:val="26"/>
          <w:szCs w:val="26"/>
        </w:rPr>
        <w:t>Дано:</w:t>
      </w:r>
    </w:p>
    <w:p w:rsidR="00445746" w:rsidRPr="001451A1" w:rsidRDefault="00445746">
      <w:pPr>
        <w:pStyle w:val="Textbody"/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93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1"/>
        <w:gridCol w:w="1346"/>
        <w:gridCol w:w="1346"/>
        <w:gridCol w:w="1451"/>
        <w:gridCol w:w="1286"/>
      </w:tblGrid>
      <w:tr w:rsidR="00445746" w:rsidRPr="001451A1">
        <w:tblPrEx>
          <w:tblCellMar>
            <w:top w:w="0" w:type="dxa"/>
            <w:bottom w:w="0" w:type="dxa"/>
          </w:tblCellMar>
        </w:tblPrEx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Вещество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line="288" w:lineRule="auto"/>
              <w:ind w:hanging="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% вещ-ва</w:t>
            </w:r>
          </w:p>
          <w:p w:rsidR="00445746" w:rsidRPr="001451A1" w:rsidRDefault="00FE38E6">
            <w:pPr>
              <w:pStyle w:val="TableContents"/>
              <w:spacing w:line="288" w:lineRule="auto"/>
              <w:ind w:hanging="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в пыли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Концентрация (Ссс)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Кон-такт с пылью, лет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Категория работ</w:t>
            </w:r>
          </w:p>
        </w:tc>
      </w:tr>
      <w:tr w:rsidR="00445746" w:rsidRPr="001451A1">
        <w:tblPrEx>
          <w:tblCellMar>
            <w:top w:w="0" w:type="dxa"/>
            <w:bottom w:w="0" w:type="dxa"/>
          </w:tblCellMar>
        </w:tblPrEx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 xml:space="preserve">Каменный </w:t>
            </w: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уголь (до 5%)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5746" w:rsidRPr="001451A1" w:rsidRDefault="00FE38E6">
            <w:pPr>
              <w:pStyle w:val="TableContents"/>
              <w:spacing w:before="240" w:after="240" w:line="288" w:lineRule="auto"/>
              <w:ind w:right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</w:tr>
    </w:tbl>
    <w:p w:rsidR="00445746" w:rsidRPr="001451A1" w:rsidRDefault="00FE38E6">
      <w:pPr>
        <w:pStyle w:val="Textbody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br/>
      </w:r>
      <w:r w:rsidRPr="001451A1">
        <w:rPr>
          <w:rFonts w:ascii="Times New Roman" w:hAnsi="Times New Roman" w:cs="Times New Roman"/>
          <w:b/>
          <w:sz w:val="26"/>
          <w:szCs w:val="26"/>
        </w:rPr>
        <w:t>Решение:</w:t>
      </w:r>
    </w:p>
    <w:p w:rsidR="00445746" w:rsidRPr="001451A1" w:rsidRDefault="00FE38E6">
      <w:pPr>
        <w:pStyle w:val="Textbody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ПН = Ссс·N · T ·Q, мг</w:t>
      </w:r>
    </w:p>
    <w:p w:rsidR="00445746" w:rsidRPr="001451A1" w:rsidRDefault="00FE38E6">
      <w:pPr>
        <w:pStyle w:val="Textbody"/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ПН = 36 · 248 · 9 · 7 = 562464 мг</w:t>
      </w:r>
    </w:p>
    <w:p w:rsidR="00445746" w:rsidRPr="001451A1" w:rsidRDefault="00445746">
      <w:pPr>
        <w:pStyle w:val="Textbody"/>
        <w:rPr>
          <w:rFonts w:ascii="Times New Roman" w:hAnsi="Times New Roman" w:cs="Times New Roman"/>
          <w:sz w:val="26"/>
          <w:szCs w:val="26"/>
        </w:rPr>
      </w:pPr>
    </w:p>
    <w:p w:rsidR="00445746" w:rsidRPr="001451A1" w:rsidRDefault="00FE38E6">
      <w:pPr>
        <w:pStyle w:val="Textbody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КПН = ПДК · N · T · Q, мг</w:t>
      </w:r>
    </w:p>
    <w:p w:rsidR="00445746" w:rsidRPr="001451A1" w:rsidRDefault="00FE38E6">
      <w:pPr>
        <w:pStyle w:val="Textbody"/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КПН = 10 · 248 · 9 · 7 = 156240 мг</w:t>
      </w:r>
    </w:p>
    <w:p w:rsidR="00445746" w:rsidRPr="001451A1" w:rsidRDefault="00445746">
      <w:pPr>
        <w:pStyle w:val="Textbody"/>
        <w:rPr>
          <w:rFonts w:ascii="Times New Roman" w:hAnsi="Times New Roman" w:cs="Times New Roman"/>
          <w:sz w:val="26"/>
          <w:szCs w:val="26"/>
        </w:rPr>
      </w:pPr>
    </w:p>
    <w:p w:rsidR="00445746" w:rsidRPr="001451A1" w:rsidRDefault="00FE38E6">
      <w:pPr>
        <w:pStyle w:val="Textbody"/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Величина превышения КПН = ПН/КПН = 3,6</w:t>
      </w:r>
    </w:p>
    <w:p w:rsidR="00445746" w:rsidRPr="001451A1" w:rsidRDefault="00445746">
      <w:pPr>
        <w:pStyle w:val="Textbody"/>
        <w:rPr>
          <w:rFonts w:ascii="Times New Roman" w:hAnsi="Times New Roman" w:cs="Times New Roman"/>
          <w:sz w:val="26"/>
          <w:szCs w:val="26"/>
        </w:rPr>
      </w:pPr>
    </w:p>
    <w:p w:rsidR="00445746" w:rsidRPr="001451A1" w:rsidRDefault="00FE38E6">
      <w:pPr>
        <w:pStyle w:val="Textbody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КПН25 = ПДК · N · T25 · Q, мг</w:t>
      </w:r>
    </w:p>
    <w:p w:rsidR="00445746" w:rsidRPr="001451A1" w:rsidRDefault="00FE38E6">
      <w:pPr>
        <w:pStyle w:val="Textbody"/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 xml:space="preserve">КПН25 = 10 · 248 · 25 · 7 = </w:t>
      </w:r>
      <w:r w:rsidRPr="001451A1">
        <w:rPr>
          <w:rFonts w:ascii="Times New Roman" w:hAnsi="Times New Roman" w:cs="Times New Roman"/>
          <w:sz w:val="26"/>
          <w:szCs w:val="26"/>
        </w:rPr>
        <w:t>434000 мг</w:t>
      </w:r>
    </w:p>
    <w:p w:rsidR="00445746" w:rsidRPr="001451A1" w:rsidRDefault="00445746">
      <w:pPr>
        <w:pStyle w:val="Textbody"/>
        <w:rPr>
          <w:rFonts w:ascii="Times New Roman" w:hAnsi="Times New Roman" w:cs="Times New Roman"/>
          <w:sz w:val="26"/>
          <w:szCs w:val="26"/>
        </w:rPr>
      </w:pPr>
    </w:p>
    <w:p w:rsidR="00445746" w:rsidRPr="001451A1" w:rsidRDefault="00FE38E6">
      <w:pPr>
        <w:pStyle w:val="Textbody"/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noProof/>
          <w:sz w:val="26"/>
          <w:szCs w:val="26"/>
          <w:lang w:eastAsia="ja-JP" w:bidi="ar-SA"/>
        </w:rPr>
        <w:drawing>
          <wp:inline distT="0" distB="0" distL="0" distR="0">
            <wp:extent cx="1057320" cy="428760"/>
            <wp:effectExtent l="0" t="0" r="9480" b="939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320" cy="4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45746" w:rsidRPr="001451A1" w:rsidRDefault="00FE38E6">
      <w:pPr>
        <w:pStyle w:val="Textbody"/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Tдоп = 434000 / (36 · 248 · 7) = 62494 = 6,94</w:t>
      </w:r>
    </w:p>
    <w:p w:rsidR="00445746" w:rsidRPr="001451A1" w:rsidRDefault="00445746">
      <w:pPr>
        <w:pStyle w:val="Textbody"/>
        <w:rPr>
          <w:rFonts w:ascii="Times New Roman" w:hAnsi="Times New Roman" w:cs="Times New Roman"/>
          <w:sz w:val="26"/>
          <w:szCs w:val="26"/>
        </w:rPr>
      </w:pPr>
    </w:p>
    <w:p w:rsidR="00445746" w:rsidRPr="001451A1" w:rsidRDefault="00FE38E6">
      <w:pPr>
        <w:pStyle w:val="Textbody"/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b/>
          <w:sz w:val="26"/>
          <w:szCs w:val="26"/>
        </w:rPr>
        <w:t>Вывод:</w:t>
      </w:r>
      <w:r w:rsidRPr="001451A1">
        <w:rPr>
          <w:rFonts w:ascii="Times New Roman" w:hAnsi="Times New Roman" w:cs="Times New Roman"/>
          <w:sz w:val="26"/>
          <w:szCs w:val="26"/>
        </w:rPr>
        <w:br/>
      </w:r>
      <w:r w:rsidRPr="001451A1">
        <w:rPr>
          <w:rFonts w:ascii="Times New Roman" w:hAnsi="Times New Roman" w:cs="Times New Roman"/>
          <w:sz w:val="26"/>
          <w:szCs w:val="26"/>
        </w:rPr>
        <w:t>Фактическое ПН превышает КПН за тот же период работы (9 лет) в 3,6 раз, тогда, согласно таблице 4.3 класс условий труда работника – вредный (2 степени)</w:t>
      </w:r>
      <w:r w:rsidRPr="001451A1">
        <w:rPr>
          <w:rFonts w:ascii="Times New Roman" w:hAnsi="Times New Roman" w:cs="Times New Roman"/>
          <w:sz w:val="26"/>
          <w:szCs w:val="26"/>
        </w:rPr>
        <w:br/>
      </w:r>
      <w:r w:rsidRPr="001451A1">
        <w:rPr>
          <w:rFonts w:ascii="Times New Roman" w:hAnsi="Times New Roman" w:cs="Times New Roman"/>
          <w:sz w:val="26"/>
          <w:szCs w:val="26"/>
        </w:rPr>
        <w:t>В данных условиях труда работник може</w:t>
      </w:r>
      <w:r w:rsidRPr="001451A1">
        <w:rPr>
          <w:rFonts w:ascii="Times New Roman" w:hAnsi="Times New Roman" w:cs="Times New Roman"/>
          <w:sz w:val="26"/>
          <w:szCs w:val="26"/>
        </w:rPr>
        <w:t>т проработать не более 7 лет.</w:t>
      </w:r>
    </w:p>
    <w:p w:rsidR="00445746" w:rsidRPr="001451A1" w:rsidRDefault="001451A1">
      <w:pPr>
        <w:pStyle w:val="Textbody"/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br/>
      </w:r>
      <w:bookmarkStart w:id="1" w:name="_GoBack"/>
      <w:bookmarkEnd w:id="1"/>
    </w:p>
    <w:p w:rsidR="00445746" w:rsidRPr="001451A1" w:rsidRDefault="00FE38E6">
      <w:pPr>
        <w:pStyle w:val="Textbody"/>
        <w:pageBreakBefore/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" w:name="docs-internal-guid-c25f1188-7fff-5b82-02"/>
      <w:bookmarkEnd w:id="2"/>
      <w:r w:rsidRPr="001451A1">
        <w:rPr>
          <w:rFonts w:ascii="Times New Roman" w:hAnsi="Times New Roman" w:cs="Times New Roman"/>
          <w:b/>
          <w:sz w:val="26"/>
          <w:szCs w:val="26"/>
        </w:rPr>
        <w:lastRenderedPageBreak/>
        <w:t>Контрольные вопросы:</w:t>
      </w:r>
    </w:p>
    <w:p w:rsidR="001451A1" w:rsidRPr="001451A1" w:rsidRDefault="001451A1" w:rsidP="001451A1">
      <w:pPr>
        <w:shd w:val="clear" w:color="auto" w:fill="FFFFFF"/>
        <w:rPr>
          <w:rFonts w:ascii="Times New Roman" w:hAnsi="Times New Roman" w:cs="Times New Roman"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spacing w:val="3"/>
          <w:sz w:val="26"/>
          <w:szCs w:val="26"/>
        </w:rPr>
        <w:t>Бурение, дробление и измельчение сырья и полуфабрикатов в горнорудной, угольной, фарфорофаянсовой промышленности; снятие поверхностного слоя при точке, шлифовке в машиностроительной промышленности; перемешивание, расфасовка и упаковка сыпучих веществ в химической, пищевой промышленности, промышленности стройматериалов и т.д.</w:t>
      </w:r>
    </w:p>
    <w:p w:rsidR="001451A1" w:rsidRPr="001451A1" w:rsidRDefault="001451A1" w:rsidP="001451A1">
      <w:pPr>
        <w:shd w:val="clear" w:color="auto" w:fill="FFFFFF"/>
        <w:jc w:val="both"/>
        <w:rPr>
          <w:rFonts w:ascii="Times New Roman" w:hAnsi="Times New Roman" w:cs="Times New Roman"/>
          <w:color w:val="auto"/>
          <w:spacing w:val="-12"/>
          <w:sz w:val="26"/>
          <w:szCs w:val="26"/>
        </w:rPr>
      </w:pPr>
    </w:p>
    <w:p w:rsidR="001451A1" w:rsidRPr="001451A1" w:rsidRDefault="001451A1" w:rsidP="001451A1">
      <w:pPr>
        <w:shd w:val="clear" w:color="auto" w:fill="FFFFFF"/>
        <w:jc w:val="both"/>
        <w:rPr>
          <w:rFonts w:ascii="Times New Roman" w:hAnsi="Times New Roman" w:cs="Times New Roman"/>
          <w:spacing w:val="-12"/>
          <w:sz w:val="26"/>
          <w:szCs w:val="26"/>
        </w:rPr>
      </w:pPr>
      <w:r w:rsidRPr="001451A1">
        <w:rPr>
          <w:rFonts w:ascii="Times New Roman" w:hAnsi="Times New Roman" w:cs="Times New Roman"/>
          <w:spacing w:val="-12"/>
          <w:sz w:val="26"/>
          <w:szCs w:val="26"/>
        </w:rPr>
        <w:t xml:space="preserve">2. </w:t>
      </w:r>
      <w:r w:rsidRPr="001451A1">
        <w:rPr>
          <w:rFonts w:ascii="Times New Roman" w:hAnsi="Times New Roman" w:cs="Times New Roman"/>
          <w:spacing w:val="3"/>
          <w:sz w:val="26"/>
          <w:szCs w:val="26"/>
        </w:rPr>
        <w:t>По происхождению пыль разделяют на органическую, неорганическую и смешанную. Органическая пыль может быть естественной, животного или растительного происхождения (древесная, хлопковая, льняная, костяная, шерстяная и др.) и искусственной – пыль пластмасс, резины, смол, красителей и других синтетических веществ. Неорганическая пыль может быть минеральной (кварцевая, силикатная, асбестовая, цементная, наждачная, фарфоровая и др.) и металлической (цинковая, железная, медная, свинцовая, марганцевая). В условиях производства особенно распространена пыль смешанного состава, состоящая из минеральных и металлических частиц (например, смесь пыли железа и кремния), органическая и неорганическая (пыль злаков и почвы).</w:t>
      </w:r>
    </w:p>
    <w:p w:rsidR="001451A1" w:rsidRPr="001451A1" w:rsidRDefault="001451A1" w:rsidP="001451A1">
      <w:pPr>
        <w:rPr>
          <w:rFonts w:ascii="Times New Roman" w:hAnsi="Times New Roman" w:cs="Times New Roman"/>
          <w:sz w:val="26"/>
          <w:szCs w:val="26"/>
        </w:rPr>
      </w:pPr>
    </w:p>
    <w:p w:rsidR="001451A1" w:rsidRPr="001451A1" w:rsidRDefault="001451A1" w:rsidP="001451A1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451A1">
        <w:rPr>
          <w:rFonts w:ascii="Times New Roman" w:hAnsi="Times New Roman" w:cs="Times New Roman"/>
          <w:sz w:val="26"/>
          <w:szCs w:val="26"/>
        </w:rPr>
        <w:t xml:space="preserve">3. 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Пыль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может оказывать влияние на органы зрения, вызывать воспалительные процессы (конъюнктивиты), профессиональные катаракты, оказывать сильное сенсибилизирующее 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действие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на слизистую оболочку и роговицу глаза. Загрязняя кожные покровы, 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пыль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различного состава вызывает различные виды дерматитов и экзем.</w:t>
      </w:r>
    </w:p>
    <w:p w:rsidR="001451A1" w:rsidRPr="001451A1" w:rsidRDefault="001451A1" w:rsidP="001451A1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:rsidR="001451A1" w:rsidRPr="001451A1" w:rsidRDefault="001451A1" w:rsidP="001451A1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4. 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Дисперсность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— физическая величина, характеризующая размер взвешенных частиц в дисперсных системах.</w:t>
      </w:r>
    </w:p>
    <w:p w:rsidR="001451A1" w:rsidRPr="001451A1" w:rsidRDefault="001451A1" w:rsidP="001451A1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//</w:t>
      </w:r>
    </w:p>
    <w:p w:rsidR="001451A1" w:rsidRPr="001451A1" w:rsidRDefault="001451A1" w:rsidP="001451A1">
      <w:pPr>
        <w:rPr>
          <w:rFonts w:ascii="Times New Roman" w:eastAsiaTheme="minorEastAsia" w:hAnsi="Times New Roman" w:cs="Times New Roman"/>
          <w:spacing w:val="3"/>
          <w:sz w:val="26"/>
          <w:szCs w:val="26"/>
          <w:lang w:eastAsia="ja-JP"/>
        </w:rPr>
      </w:pP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Дисперсность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— это степень измельчения частиц 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пыли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(размер, масса и количество частиц соответствующего размера</w:t>
      </w:r>
    </w:p>
    <w:p w:rsidR="001451A1" w:rsidRPr="001451A1" w:rsidRDefault="001451A1" w:rsidP="001451A1">
      <w:pPr>
        <w:rPr>
          <w:rFonts w:ascii="Times New Roman" w:eastAsia="Times New Roman" w:hAnsi="Times New Roman" w:cs="Times New Roman"/>
          <w:spacing w:val="3"/>
          <w:sz w:val="26"/>
          <w:szCs w:val="26"/>
          <w:lang w:eastAsia="ru-RU"/>
        </w:rPr>
      </w:pP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Это величина, показывающая какое число частиц можно уложить вплотную в одном кубическом метре. Чем меньше размер частиц, тем больше </w:t>
      </w:r>
      <w:r w:rsidRPr="001451A1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дисперсность</w:t>
      </w:r>
      <w:r w:rsidRPr="001451A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r w:rsidRPr="001451A1">
        <w:rPr>
          <w:rFonts w:ascii="Times New Roman" w:hAnsi="Times New Roman" w:cs="Times New Roman"/>
          <w:spacing w:val="3"/>
          <w:sz w:val="26"/>
          <w:szCs w:val="26"/>
        </w:rPr>
        <w:t>От степени дисперсности пылевых частиц зависят как стойкость пылевого аэрозоля в воздухе производственного помещения, так и степень задержки частиц пыли в дыхательных путях.</w:t>
      </w:r>
    </w:p>
    <w:p w:rsidR="001451A1" w:rsidRPr="001451A1" w:rsidRDefault="001451A1" w:rsidP="001451A1">
      <w:pPr>
        <w:rPr>
          <w:rFonts w:ascii="Times New Roman" w:hAnsi="Times New Roman" w:cs="Times New Roman"/>
          <w:spacing w:val="3"/>
          <w:sz w:val="26"/>
          <w:szCs w:val="26"/>
        </w:rPr>
      </w:pPr>
    </w:p>
    <w:p w:rsidR="001451A1" w:rsidRPr="001451A1" w:rsidRDefault="001451A1" w:rsidP="001451A1">
      <w:pPr>
        <w:rPr>
          <w:rFonts w:ascii="Times New Roman" w:hAnsi="Times New Roman" w:cs="Times New Roman"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spacing w:val="3"/>
          <w:sz w:val="26"/>
          <w:szCs w:val="26"/>
        </w:rPr>
        <w:t>5. Класс условий труда и степень вредности при профессиональном контакте с АПФД определяют, исходя из фактических величин среднесменных концентраций аэрозолей и кратности превышения среднесменных ПДК (табл. 4.3).</w:t>
      </w:r>
    </w:p>
    <w:p w:rsidR="001451A1" w:rsidRPr="001451A1" w:rsidRDefault="001451A1" w:rsidP="001451A1">
      <w:pPr>
        <w:rPr>
          <w:rFonts w:ascii="Times New Roman" w:hAnsi="Times New Roman" w:cs="Times New Roman"/>
          <w:i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i/>
          <w:spacing w:val="3"/>
          <w:sz w:val="26"/>
          <w:szCs w:val="26"/>
        </w:rPr>
        <w:br/>
      </w:r>
    </w:p>
    <w:p w:rsidR="001451A1" w:rsidRPr="001451A1" w:rsidRDefault="001451A1">
      <w:pPr>
        <w:rPr>
          <w:rFonts w:ascii="Times New Roman" w:hAnsi="Times New Roman" w:cs="Times New Roman"/>
          <w:i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i/>
          <w:spacing w:val="3"/>
          <w:sz w:val="26"/>
          <w:szCs w:val="26"/>
        </w:rPr>
        <w:br w:type="page"/>
      </w:r>
    </w:p>
    <w:p w:rsidR="001451A1" w:rsidRPr="001451A1" w:rsidRDefault="001451A1" w:rsidP="001451A1">
      <w:pPr>
        <w:rPr>
          <w:rFonts w:ascii="Times New Roman" w:hAnsi="Times New Roman" w:cs="Times New Roman"/>
          <w:i/>
          <w:spacing w:val="3"/>
          <w:sz w:val="26"/>
          <w:szCs w:val="26"/>
        </w:rPr>
      </w:pPr>
    </w:p>
    <w:p w:rsidR="001451A1" w:rsidRPr="001451A1" w:rsidRDefault="001451A1" w:rsidP="001451A1">
      <w:pPr>
        <w:ind w:firstLine="567"/>
        <w:jc w:val="right"/>
        <w:rPr>
          <w:rFonts w:ascii="Times New Roman" w:hAnsi="Times New Roman" w:cs="Times New Roman"/>
          <w:i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i/>
          <w:spacing w:val="3"/>
          <w:sz w:val="26"/>
          <w:szCs w:val="26"/>
        </w:rPr>
        <w:t>Таблица 4.3</w:t>
      </w:r>
    </w:p>
    <w:p w:rsidR="001451A1" w:rsidRPr="001451A1" w:rsidRDefault="001451A1" w:rsidP="001451A1">
      <w:pPr>
        <w:ind w:firstLine="567"/>
        <w:jc w:val="center"/>
        <w:rPr>
          <w:rFonts w:ascii="Times New Roman" w:hAnsi="Times New Roman" w:cs="Times New Roman"/>
          <w:b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b/>
          <w:spacing w:val="3"/>
          <w:sz w:val="26"/>
          <w:szCs w:val="26"/>
        </w:rPr>
        <w:t xml:space="preserve">Классы условий труда в зависимости от содержания в воздухе рабочей зоны АПФД </w:t>
      </w: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868"/>
        <w:gridCol w:w="1669"/>
        <w:gridCol w:w="954"/>
        <w:gridCol w:w="976"/>
        <w:gridCol w:w="1186"/>
        <w:gridCol w:w="975"/>
      </w:tblGrid>
      <w:tr w:rsidR="001451A1" w:rsidRPr="001451A1" w:rsidTr="001451A1"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000000"/>
            </w:tcBorders>
            <w:vAlign w:val="center"/>
          </w:tcPr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</w:p>
        </w:tc>
        <w:tc>
          <w:tcPr>
            <w:tcW w:w="2954" w:type="pct"/>
            <w:gridSpan w:val="5"/>
            <w:tcBorders>
              <w:top w:val="single" w:sz="4" w:space="0" w:color="auto"/>
              <w:left w:val="nil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Классы условий труда</w:t>
            </w:r>
          </w:p>
        </w:tc>
      </w:tr>
      <w:tr w:rsidR="001451A1" w:rsidRPr="001451A1" w:rsidTr="001451A1">
        <w:tc>
          <w:tcPr>
            <w:tcW w:w="2046" w:type="pct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Показатели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Допустимый</w:t>
            </w:r>
          </w:p>
        </w:tc>
        <w:tc>
          <w:tcPr>
            <w:tcW w:w="2274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Вредный</w:t>
            </w:r>
          </w:p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(Превышение ПДК (КПН), раз)</w:t>
            </w:r>
          </w:p>
        </w:tc>
      </w:tr>
      <w:tr w:rsidR="001451A1" w:rsidRPr="001451A1" w:rsidTr="001451A1">
        <w:tc>
          <w:tcPr>
            <w:tcW w:w="2046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2</w:t>
            </w:r>
          </w:p>
        </w:tc>
        <w:tc>
          <w:tcPr>
            <w:tcW w:w="5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3.1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3.2</w:t>
            </w:r>
          </w:p>
        </w:tc>
        <w:tc>
          <w:tcPr>
            <w:tcW w:w="6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3.3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3.4</w:t>
            </w:r>
          </w:p>
        </w:tc>
      </w:tr>
      <w:tr w:rsidR="001451A1" w:rsidRPr="001451A1" w:rsidTr="001451A1">
        <w:tc>
          <w:tcPr>
            <w:tcW w:w="2046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Концентрация пыли</w:t>
            </w:r>
          </w:p>
        </w:tc>
        <w:tc>
          <w:tcPr>
            <w:tcW w:w="68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66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sym w:font="Symbol" w:char="F0A3"/>
            </w: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ПДК</w:t>
            </w:r>
          </w:p>
        </w:tc>
        <w:tc>
          <w:tcPr>
            <w:tcW w:w="53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165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1,1 – 2,0</w:t>
            </w:r>
          </w:p>
        </w:tc>
        <w:tc>
          <w:tcPr>
            <w:tcW w:w="54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64" w:right="-109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2,1– 5,0</w:t>
            </w:r>
          </w:p>
        </w:tc>
        <w:tc>
          <w:tcPr>
            <w:tcW w:w="65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34" w:right="-53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5,1– 10,0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108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&gt; 10,0</w:t>
            </w:r>
          </w:p>
        </w:tc>
      </w:tr>
      <w:tr w:rsidR="001451A1" w:rsidRPr="001451A1" w:rsidTr="001451A1">
        <w:trPr>
          <w:trHeight w:hRule="exact" w:val="802"/>
        </w:trPr>
        <w:tc>
          <w:tcPr>
            <w:tcW w:w="2046" w:type="pc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Пылевая нагрузка (ПН)*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66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sym w:font="Symbol" w:char="F0A3"/>
            </w: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КПН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165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1,1 – 2,0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64" w:right="-109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2,1– 5,0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left="-4" w:right="-217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5,1– 10,0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25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&gt; 10,0</w:t>
            </w:r>
          </w:p>
        </w:tc>
      </w:tr>
      <w:tr w:rsidR="001451A1" w:rsidRPr="001451A1" w:rsidTr="001451A1">
        <w:tc>
          <w:tcPr>
            <w:tcW w:w="2046" w:type="pc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ПН для пылей с выраженным фиброгенным действием (ПДК≤1мг/м</w:t>
            </w: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  <w:vertAlign w:val="superscript"/>
              </w:rPr>
              <w:t>3</w:t>
            </w: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) а также для асбестсодержащих</w:t>
            </w:r>
          </w:p>
        </w:tc>
        <w:tc>
          <w:tcPr>
            <w:tcW w:w="681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</w:p>
          <w:p w:rsidR="001451A1" w:rsidRPr="001451A1" w:rsidRDefault="001451A1">
            <w:pPr>
              <w:spacing w:line="254" w:lineRule="auto"/>
              <w:ind w:left="-66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sym w:font="Symbol" w:char="F0A3"/>
            </w: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 xml:space="preserve"> КПН</w:t>
            </w:r>
          </w:p>
          <w:p w:rsidR="001451A1" w:rsidRPr="001451A1" w:rsidRDefault="001451A1">
            <w:pPr>
              <w:spacing w:line="254" w:lineRule="auto"/>
              <w:ind w:firstLine="540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</w:p>
        </w:tc>
        <w:tc>
          <w:tcPr>
            <w:tcW w:w="53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165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1,1 - 1,5</w:t>
            </w:r>
          </w:p>
        </w:tc>
        <w:tc>
          <w:tcPr>
            <w:tcW w:w="544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109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1,6– 3,0</w:t>
            </w:r>
          </w:p>
        </w:tc>
        <w:tc>
          <w:tcPr>
            <w:tcW w:w="65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ind w:right="-53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3,1 – 5,0</w:t>
            </w:r>
          </w:p>
        </w:tc>
        <w:tc>
          <w:tcPr>
            <w:tcW w:w="543" w:type="pct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1A1" w:rsidRPr="001451A1" w:rsidRDefault="001451A1">
            <w:pPr>
              <w:spacing w:line="254" w:lineRule="auto"/>
              <w:jc w:val="center"/>
              <w:rPr>
                <w:rFonts w:ascii="Times New Roman" w:hAnsi="Times New Roman" w:cs="Times New Roman"/>
                <w:spacing w:val="3"/>
                <w:sz w:val="26"/>
                <w:szCs w:val="26"/>
              </w:rPr>
            </w:pPr>
            <w:r w:rsidRPr="001451A1">
              <w:rPr>
                <w:rFonts w:ascii="Times New Roman" w:hAnsi="Times New Roman" w:cs="Times New Roman"/>
                <w:spacing w:val="3"/>
                <w:sz w:val="26"/>
                <w:szCs w:val="26"/>
              </w:rPr>
              <w:t>&gt;5,0</w:t>
            </w:r>
          </w:p>
        </w:tc>
      </w:tr>
    </w:tbl>
    <w:p w:rsidR="001451A1" w:rsidRPr="001451A1" w:rsidRDefault="001451A1" w:rsidP="001451A1">
      <w:pPr>
        <w:ind w:firstLine="567"/>
        <w:jc w:val="center"/>
        <w:rPr>
          <w:rFonts w:ascii="Times New Roman" w:eastAsia="Times New Roman" w:hAnsi="Times New Roman" w:cs="Times New Roman"/>
          <w:i/>
          <w:spacing w:val="3"/>
          <w:sz w:val="26"/>
          <w:szCs w:val="26"/>
          <w:lang w:eastAsia="ru-RU"/>
        </w:rPr>
      </w:pPr>
      <w:r w:rsidRPr="001451A1">
        <w:rPr>
          <w:rFonts w:ascii="Times New Roman" w:hAnsi="Times New Roman" w:cs="Times New Roman"/>
          <w:i/>
          <w:spacing w:val="3"/>
          <w:sz w:val="26"/>
          <w:szCs w:val="26"/>
        </w:rPr>
        <w:t>*За исключением пылей, обладающих фиброгенным действием и имеющих ПДК 1 мг/м</w:t>
      </w:r>
      <w:r w:rsidRPr="001451A1">
        <w:rPr>
          <w:rFonts w:ascii="Times New Roman" w:hAnsi="Times New Roman" w:cs="Times New Roman"/>
          <w:i/>
          <w:spacing w:val="3"/>
          <w:sz w:val="26"/>
          <w:szCs w:val="26"/>
          <w:vertAlign w:val="superscript"/>
        </w:rPr>
        <w:t xml:space="preserve">3 </w:t>
      </w:r>
      <w:r w:rsidRPr="001451A1">
        <w:rPr>
          <w:rFonts w:ascii="Times New Roman" w:hAnsi="Times New Roman" w:cs="Times New Roman"/>
          <w:i/>
          <w:spacing w:val="3"/>
          <w:sz w:val="26"/>
          <w:szCs w:val="26"/>
        </w:rPr>
        <w:t>и менее, а также для асбестсодержащих пылей.</w:t>
      </w:r>
    </w:p>
    <w:p w:rsidR="001451A1" w:rsidRPr="001451A1" w:rsidRDefault="001451A1" w:rsidP="001451A1">
      <w:pPr>
        <w:ind w:firstLine="567"/>
        <w:jc w:val="both"/>
        <w:rPr>
          <w:rFonts w:ascii="Times New Roman" w:hAnsi="Times New Roman" w:cs="Times New Roman"/>
          <w:spacing w:val="3"/>
          <w:sz w:val="26"/>
          <w:szCs w:val="26"/>
        </w:rPr>
      </w:pPr>
    </w:p>
    <w:p w:rsidR="001451A1" w:rsidRPr="001451A1" w:rsidRDefault="001451A1" w:rsidP="001451A1">
      <w:pPr>
        <w:rPr>
          <w:rFonts w:ascii="Times New Roman" w:hAnsi="Times New Roman" w:cs="Times New Roman"/>
          <w:spacing w:val="3"/>
          <w:sz w:val="26"/>
          <w:szCs w:val="26"/>
        </w:rPr>
      </w:pPr>
      <w:r w:rsidRPr="001451A1">
        <w:rPr>
          <w:rFonts w:ascii="Times New Roman" w:hAnsi="Times New Roman" w:cs="Times New Roman"/>
          <w:sz w:val="26"/>
          <w:szCs w:val="26"/>
        </w:rPr>
        <w:t>Дополнительным показателем оценки степени воздействия АПФД на органы дыхания работающих является пылевая нагрузка за весь период реального или предполагаемого контакта с фактором. В случае превышения среднесменной ПДК фиброгенной пыли расчет пылевой нагрузки обязателен</w:t>
      </w:r>
    </w:p>
    <w:p w:rsidR="001451A1" w:rsidRPr="001451A1" w:rsidRDefault="001451A1" w:rsidP="001451A1">
      <w:pPr>
        <w:rPr>
          <w:rFonts w:ascii="Times New Roman" w:hAnsi="Times New Roman" w:cs="Times New Roman"/>
          <w:spacing w:val="3"/>
          <w:sz w:val="26"/>
          <w:szCs w:val="26"/>
        </w:rPr>
      </w:pPr>
    </w:p>
    <w:p w:rsidR="001451A1" w:rsidRPr="001451A1" w:rsidRDefault="001451A1" w:rsidP="001451A1">
      <w:pPr>
        <w:rPr>
          <w:rFonts w:ascii="Times New Roman" w:hAnsi="Times New Roman" w:cs="Times New Roman"/>
          <w:sz w:val="26"/>
          <w:szCs w:val="26"/>
        </w:rPr>
      </w:pPr>
      <w:r w:rsidRPr="001451A1">
        <w:rPr>
          <w:rFonts w:ascii="Times New Roman" w:hAnsi="Times New Roman" w:cs="Times New Roman"/>
          <w:spacing w:val="3"/>
          <w:sz w:val="26"/>
          <w:szCs w:val="26"/>
        </w:rPr>
        <w:t xml:space="preserve">6. </w:t>
      </w:r>
      <w:r w:rsidRPr="001451A1">
        <w:rPr>
          <w:rFonts w:ascii="Times New Roman" w:hAnsi="Times New Roman" w:cs="Times New Roman"/>
          <w:sz w:val="26"/>
          <w:szCs w:val="26"/>
        </w:rPr>
        <w:t>Основой проведения мероприятий по борьбе с пылью является гигиеническое нормирование содержания аэрозолей в воздухе рабочей зоны.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6"/>
          <w:szCs w:val="26"/>
        </w:rPr>
      </w:pPr>
      <w:r w:rsidRPr="001451A1">
        <w:rPr>
          <w:color w:val="000000"/>
          <w:sz w:val="26"/>
          <w:szCs w:val="26"/>
        </w:rPr>
        <w:t>В борьбе с образованием и распространением пыли наиболее эффективны технологические мероприятия. К ним относятся: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1451A1">
        <w:rPr>
          <w:color w:val="000000"/>
          <w:sz w:val="26"/>
          <w:szCs w:val="26"/>
        </w:rPr>
        <w:t>– внедрение непрерывной технологии производства, при которой отсутствуют ручные операции;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1451A1">
        <w:rPr>
          <w:color w:val="000000"/>
          <w:sz w:val="26"/>
          <w:szCs w:val="26"/>
        </w:rPr>
        <w:t>– автоматизация и механизация процессов, сопровождающихся выделением пыли;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-10"/>
          <w:sz w:val="26"/>
          <w:szCs w:val="26"/>
        </w:rPr>
      </w:pPr>
      <w:r w:rsidRPr="001451A1">
        <w:rPr>
          <w:color w:val="000000"/>
          <w:sz w:val="26"/>
          <w:szCs w:val="26"/>
        </w:rPr>
        <w:t>– </w:t>
      </w:r>
      <w:r w:rsidRPr="001451A1">
        <w:rPr>
          <w:color w:val="000000"/>
          <w:spacing w:val="-10"/>
          <w:sz w:val="26"/>
          <w:szCs w:val="26"/>
        </w:rPr>
        <w:t>рационализация технологического процесса, обработка пылящих материалов во влажном состоянии, например, внедрение мокрого бурения в горнорудной и угольной промышленности (бурение с промывкой канала водой);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1451A1">
        <w:rPr>
          <w:color w:val="000000"/>
          <w:sz w:val="26"/>
          <w:szCs w:val="26"/>
        </w:rPr>
        <w:t>– дистанционное управление;</w:t>
      </w:r>
    </w:p>
    <w:p w:rsidR="001451A1" w:rsidRPr="001451A1" w:rsidRDefault="001451A1" w:rsidP="001451A1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pacing w:val="-10"/>
          <w:sz w:val="26"/>
          <w:szCs w:val="26"/>
        </w:rPr>
      </w:pPr>
      <w:r w:rsidRPr="001451A1">
        <w:rPr>
          <w:color w:val="000000"/>
          <w:sz w:val="26"/>
          <w:szCs w:val="26"/>
        </w:rPr>
        <w:t>– устройство местных вентиляционных отсосов, вытяжной или приточно-</w:t>
      </w:r>
      <w:r w:rsidRPr="001451A1">
        <w:rPr>
          <w:color w:val="000000"/>
          <w:spacing w:val="-10"/>
          <w:sz w:val="26"/>
          <w:szCs w:val="26"/>
        </w:rPr>
        <w:t>вытяжной вентиляции. Удаление пыли происходит непосредственно от мест пылеобразования. Перед выбросом в атмосферу запыленный воздух очищается с помощью пылеуловителей различной конструкции.</w:t>
      </w:r>
    </w:p>
    <w:p w:rsidR="00445746" w:rsidRPr="001451A1" w:rsidRDefault="00445746" w:rsidP="001451A1">
      <w:pPr>
        <w:pStyle w:val="Textbody"/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sectPr w:rsidR="00445746" w:rsidRPr="001451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8E6" w:rsidRDefault="00FE38E6">
      <w:r>
        <w:separator/>
      </w:r>
    </w:p>
  </w:endnote>
  <w:endnote w:type="continuationSeparator" w:id="0">
    <w:p w:rsidR="00FE38E6" w:rsidRDefault="00FE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8E6" w:rsidRDefault="00FE38E6">
      <w:r>
        <w:separator/>
      </w:r>
    </w:p>
  </w:footnote>
  <w:footnote w:type="continuationSeparator" w:id="0">
    <w:p w:rsidR="00FE38E6" w:rsidRDefault="00FE3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34F"/>
    <w:multiLevelType w:val="multilevel"/>
    <w:tmpl w:val="D6D07E58"/>
    <w:lvl w:ilvl="0">
      <w:start w:val="4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99D2430"/>
    <w:multiLevelType w:val="multilevel"/>
    <w:tmpl w:val="E4BEE46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6E5757AC"/>
    <w:multiLevelType w:val="multilevel"/>
    <w:tmpl w:val="4FC6EAA0"/>
    <w:lvl w:ilvl="0">
      <w:start w:val="3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7BD14AE0"/>
    <w:multiLevelType w:val="multilevel"/>
    <w:tmpl w:val="7AEAE1C8"/>
    <w:lvl w:ilvl="0">
      <w:start w:val="2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45746"/>
    <w:rsid w:val="001451A1"/>
    <w:rsid w:val="00420B6E"/>
    <w:rsid w:val="00445746"/>
    <w:rsid w:val="00F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B5B5"/>
  <w15:docId w15:val="{D6748092-C39D-43E0-9F2A-3A219FE9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a3">
    <w:name w:val="Normal (Web)"/>
    <w:basedOn w:val="a"/>
    <w:semiHidden/>
    <w:unhideWhenUsed/>
    <w:rsid w:val="001451A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Демьянцев</dc:creator>
  <cp:lastModifiedBy>Виталий Демьянцев</cp:lastModifiedBy>
  <cp:revision>2</cp:revision>
  <dcterms:created xsi:type="dcterms:W3CDTF">2022-04-03T16:52:00Z</dcterms:created>
  <dcterms:modified xsi:type="dcterms:W3CDTF">2022-04-03T16:54:00Z</dcterms:modified>
</cp:coreProperties>
</file>