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26"/>
          <w:szCs w:val="26"/>
          <w:u w:val="none"/>
          <w:lang w:val="ru-RU" w:eastAsia="ja-JP"/>
        </w:rPr>
      </w:pPr>
      <w:r>
        <w:rPr>
          <w:sz w:val="28"/>
          <w:szCs w:val="28"/>
          <w:lang w:val="ru-RU"/>
        </w:rPr>
        <w:t>Бю</w:t>
      </w:r>
      <w:r>
        <w:rPr>
          <w:rFonts w:eastAsia="Arial"/>
          <w:sz w:val="28"/>
          <w:szCs w:val="28"/>
          <w:lang w:val="ru-RU"/>
        </w:rPr>
        <w:t>джетное учреждение высшего образования Ханты-Манскийского автономного округа — Югры</w:t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кафедра Информатики и Вычислительной Техники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Отчет по лабораторной работе №8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/>
          <w:b/>
          <w:bCs/>
          <w:i w:val="false"/>
          <w:i w:val="false"/>
          <w:iCs w:val="false"/>
          <w:sz w:val="40"/>
          <w:szCs w:val="40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«Математический и физический маятники»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Выполнил: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Студент 606-11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Демьянцев В.В.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Проверила:</w:t>
      </w:r>
    </w:p>
    <w:p>
      <w:pPr>
        <w:pStyle w:val="Normal"/>
        <w:jc w:val="right"/>
        <w:rPr>
          <w:rFonts w:eastAsia="Aria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Ненахова Н.А.</w:t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/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Сургут 2021г</w:t>
      </w:r>
    </w:p>
    <w:p>
      <w:pPr>
        <w:pStyle w:val="Normal"/>
        <w:jc w:val="center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Описание экспериментальной установки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Для изучения колебаний математического и физического маятников используется универсальный маятник. Он состоит из основания, на которое крепится стойка математического и физического маятников, имеющих узлы подвеса на верхнем кронштейне , кронштейна для установки фотодатчика.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Основание снабжено тремя регулируемыми опорами и винтом-барашком для фиксации вертикальной стойки. Вертикальная стойка выполнена из металлической трубы, на которую нанесена миллиметровая шкала.</w:t>
      </w:r>
    </w:p>
    <w:p>
      <w:pPr>
        <w:pStyle w:val="Normal"/>
        <w:jc w:val="left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>Математический маятник имеет бифилярный подвес, выполненный из капроновой нити, на которой подвешен груз в виде металлического шарика, и устройство для измерения длины подвеса маятника.</w:t>
      </w:r>
    </w:p>
    <w:p>
      <w:pPr>
        <w:pStyle w:val="Normal"/>
        <w:jc w:val="left"/>
        <w:rPr>
          <w:rFonts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Физический маятник имеет жесткий металлический стержень с рисками через каждые 10 мм для отчета длины, две призматические опоры, 2 груза с возможностью перемещения и фиксации по всей длине стержня. Узлы подвески математического и физического маятников расположены на диаметрально противоположных относительно вертикальной стойки сторонах кронштейна. Верхний кронштейн имеет вин-барашек для крепления на вертикальной стойке. Кронштейн имеет винт-барашек для крепления на вертикальной стойке и элементы фиксации фотодатчика</w:t>
      </w:r>
    </w:p>
    <w:p>
      <w:pPr>
        <w:pStyle w:val="Normal"/>
        <w:jc w:val="left"/>
        <w:rPr>
          <w:rFonts w:ascii="Times New Roman" w:hAnsi="Times New Roman" w:eastAsia="Arial"/>
          <w:b/>
          <w:b/>
          <w:bCs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Цель работы: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изучить колебания математического и физического маятников; определить ускорение свободного падения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-177165</wp:posOffset>
            </wp:positionH>
            <wp:positionV relativeFrom="paragraph">
              <wp:posOffset>92075</wp:posOffset>
            </wp:positionV>
            <wp:extent cx="2628265" cy="2960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- Эскиз маятника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n = 20</w:t>
      </w:r>
    </w:p>
    <w:tbl>
      <w:tblPr>
        <w:tblW w:w="952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"/>
        <w:gridCol w:w="731"/>
        <w:gridCol w:w="1141"/>
        <w:gridCol w:w="1293"/>
        <w:gridCol w:w="1349"/>
        <w:gridCol w:w="1632"/>
        <w:gridCol w:w="2854"/>
      </w:tblGrid>
      <w:tr>
        <w:trPr/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eastAsia="Symbol" w:cs="Symbol"/>
                <w:sz w:val="28"/>
                <w:szCs w:val="28"/>
                <w:lang w:val="ru-RU" w:eastAsia="ja-JP"/>
              </w:rPr>
              <w:t>L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м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1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2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30"/>
                <w:szCs w:val="30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3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t</w:t>
            </w:r>
            <w:r>
              <w:rPr>
                <w:rFonts w:eastAsia="Arial"/>
                <w:sz w:val="28"/>
                <w:szCs w:val="28"/>
                <w:vertAlign w:val="subscript"/>
                <w:lang w:val="ru-RU" w:eastAsia="ja-JP"/>
              </w:rPr>
              <w:t>ср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, с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>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>/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Arial"/>
                <w:sz w:val="28"/>
                <w:szCs w:val="28"/>
                <w:lang w:eastAsia="ja-JP"/>
              </w:rPr>
              <w:t xml:space="preserve">,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0,39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24,1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25,21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24,2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24,2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21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0,34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22,71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22,71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22,73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14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21,35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21,32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21,32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21,33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01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0,24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19,17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19,19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19,24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19,2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0,9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6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0,37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23,68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23,68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23,69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 w:eastAsia="ja-JP"/>
              </w:rPr>
            </w:pPr>
            <w:r>
              <w:rPr>
                <w:rFonts w:eastAsia="Arial"/>
                <w:sz w:val="28"/>
                <w:szCs w:val="28"/>
                <w:lang w:val="ru-RU" w:eastAsia="ja-JP"/>
              </w:rPr>
              <w:t>1,18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0,25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19,83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19,</w:t>
            </w:r>
            <w:r>
              <w:rPr>
                <w:rFonts w:eastAsia="Arial"/>
                <w:sz w:val="28"/>
                <w:szCs w:val="28"/>
                <w:lang w:val="ru-RU" w:eastAsia="ja-JP"/>
              </w:rPr>
              <w:t>87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19,84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19,85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0,99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0,23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18,65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18,57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18,61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0,93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0,18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16,48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16,51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16,49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16,5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0,82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0,2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17,56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17,58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17,57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0,88</w:t>
            </w:r>
          </w:p>
        </w:tc>
      </w:tr>
      <w:tr>
        <w:trPr/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4"/>
                <w:szCs w:val="24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0,16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15,35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eastAsia="ja-JP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15,36</w:t>
            </w:r>
          </w:p>
        </w:tc>
        <w:tc>
          <w:tcPr>
            <w:tcW w:w="16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eastAsia="ja-JP"/>
              </w:rPr>
              <w:t>2,66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eastAsia="Arial"/>
                <w:sz w:val="22"/>
                <w:szCs w:val="22"/>
                <w:lang w:val="ru-RU"/>
              </w:rPr>
            </w:pPr>
            <w:r>
              <w:rPr>
                <w:rFonts w:eastAsia="Arial"/>
                <w:sz w:val="28"/>
                <w:szCs w:val="28"/>
                <w:lang w:val="ru-RU"/>
              </w:rPr>
              <w:t>0,77</w:t>
            </w:r>
          </w:p>
        </w:tc>
      </w:tr>
    </w:tbl>
    <w:p>
      <w:pPr>
        <w:pStyle w:val="Style24"/>
        <w:jc w:val="left"/>
        <w:rPr/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L- 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длина нити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ab/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 — ускорение свободного падениям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ab/>
        <w:tab/>
        <w:tab/>
      </w:r>
    </w:p>
    <w:p>
      <w:pPr>
        <w:pStyle w:val="Normal"/>
        <w:jc w:val="left"/>
        <w:rPr>
          <w:rFonts w:ascii="Symbol" w:hAnsi="Symbol" w:eastAsia="Symbol" w:cs="Symbo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g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,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                    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a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g</m:t>
            </m:r>
          </m:den>
        </m:f>
      </m:oMath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- тангенс угла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1296035</wp:posOffset>
            </wp:positionH>
            <wp:positionV relativeFrom="paragraph">
              <wp:posOffset>46990</wp:posOffset>
            </wp:positionV>
            <wp:extent cx="2886710" cy="20624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Sum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Symbo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/>
      </w:pPr>
      <w:r>
        <w:rPr>
          <w:rFonts w:eastAsia="Arial"/>
          <w:b/>
          <w:bCs/>
          <w:i w:val="false"/>
          <w:iCs w:val="false"/>
          <w:sz w:val="28"/>
          <w:szCs w:val="28"/>
          <w:u w:val="none"/>
          <w:lang w:val="ru-RU" w:eastAsia="ja-JP"/>
        </w:rPr>
        <w:t>Обработка результатов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:</w:t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bookmarkStart w:id="0" w:name="docs-internal-guid-202d2ef0-7fff-d529-27"/>
      <w:bookmarkEnd w:id="0"/>
      <w:r>
        <w:rPr>
          <w:rFonts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drawing>
          <wp:inline distT="0" distB="0" distL="0" distR="0">
            <wp:extent cx="2270125" cy="1107440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</w:t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/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0,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4/0,24 = </w:t>
      </w:r>
      <w:r>
        <w:rPr>
          <w:rFonts w:eastAsia="Arial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4"/>
          <w:szCs w:val="28"/>
          <w:u w:val="none"/>
          <w:lang w:val="ru-RU" w:eastAsia="ja-JP"/>
        </w:rPr>
        <w:t>5/3 = 1,6</w:t>
      </w:r>
    </w:p>
    <w:p>
      <w:pPr>
        <w:pStyle w:val="Normal"/>
        <w:jc w:val="left"/>
        <w:rPr/>
      </w:pPr>
      <w:r>
        <w:rPr>
          <w:rFonts w:eastAsia="Arial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4"/>
          <w:szCs w:val="28"/>
          <w:u w:val="none"/>
          <w:lang w:val="ru-RU" w:eastAsia="ja-JP"/>
        </w:rPr>
        <w:t>1,6</w:t>
      </w: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</w:t>
      </w:r>
      <w:r>
        <w:rPr>
          <w:rFonts w:eastAsia="Arial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4"/>
          <w:szCs w:val="28"/>
          <w:u w:val="none"/>
          <w:lang w:val="ru-RU" w:eastAsia="ja-JP"/>
        </w:rPr>
        <w:t>*π^2/g</w:t>
      </w:r>
    </w:p>
    <w:p>
      <w:pPr>
        <w:pStyle w:val="Normal"/>
        <w:jc w:val="left"/>
        <w:rPr/>
      </w:pPr>
      <w:r>
        <w:rPr>
          <w:rFonts w:eastAsia="Arial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4"/>
          <w:szCs w:val="28"/>
          <w:u w:val="none"/>
          <w:lang w:val="ru-RU" w:eastAsia="ja-JP"/>
        </w:rPr>
        <w:t xml:space="preserve">g </w:t>
      </w:r>
      <w:r>
        <w:rPr>
          <w:rFonts w:eastAsia="Arial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4"/>
          <w:szCs w:val="28"/>
          <w:u w:val="none"/>
          <w:lang w:val="ru-RU" w:eastAsia="ja-JP"/>
        </w:rPr>
        <w:t>= 23,6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/>
      </w:r>
    </w:p>
    <w:p>
      <w:pPr>
        <w:pStyle w:val="Normal"/>
        <w:jc w:val="left"/>
        <w:rPr>
          <w:rFonts w:ascii="Times New Roman" w:hAnsi="Times New Roman" w:eastAsia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 w:eastAsia="ja-JP"/>
        </w:rPr>
      </w:pPr>
      <w:r>
        <w:rPr>
          <w:rFonts w:eastAsia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 26,96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40,28</w:t>
        <w:tab/>
        <w:t xml:space="preserve">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 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1,46</w:t>
        <w:tab/>
        <w:tab/>
        <w:tab/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0,98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2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30,38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= 45,64 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2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1,3  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0,86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 38,70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58,71                </w:t>
        <w:tab/>
        <w:t xml:space="preserve"> 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3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1,02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8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0,67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42,84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50,98 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4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0,92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9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0,77</w:t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28,35             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66,58                </w:t>
        <w:tab/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5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 1,39                         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tg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a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10  </w:t>
      </w:r>
      <w:r>
        <w:rPr>
          <w:rFonts w:eastAsia="Symbol" w:cs="Symbo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=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0,59</w:t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/>
          <w:bCs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Оценка случайных погрешностей</w:t>
      </w:r>
      <w:r>
        <w:rPr>
          <w:rFonts w:eastAsia="Symbol" w:cs="Arial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: </w:t>
      </w:r>
    </w:p>
    <w:p>
      <w:pPr>
        <w:pStyle w:val="Normal"/>
        <w:jc w:val="left"/>
        <w:rPr>
          <w:rFonts w:ascii="Times New Roman" w:hAnsi="Times New Roman" w:eastAsia="Symbol" w:cs="Arial"/>
          <w:b w:val="false"/>
          <w:b w:val="false"/>
          <w:bCs w:val="false"/>
          <w:i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position w:val="0"/>
          <w:sz w:val="24"/>
          <w:sz w:val="24"/>
          <w:vertAlign w:val="baseline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26,96±1,6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40,28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±0,266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>g</w:t>
      </w:r>
      <w:r>
        <w:rPr>
          <w:rFonts w:eastAsia="Symbol" w:cs="Arial"/>
          <w:sz w:val="28"/>
          <w:szCs w:val="28"/>
          <w:vertAlign w:val="subscript"/>
        </w:rPr>
        <w:t>2</w:t>
      </w: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 xml:space="preserve"> = 30,38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±1,26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45,64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±0,27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38,70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±0,4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58,71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1,58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42,84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±0,01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50,98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±0,8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28,35±1,46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66,58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±2,36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оценка полной погрешности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: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Arial" w:hAnsi="Arial" w:eastAsia="Symbol" w:cs="Arial"/>
          <w:position w:val="0"/>
          <w:sz w:val="24"/>
          <w:sz w:val="24"/>
          <w:vertAlign w:val="baseline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1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2,46</w:t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6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2,33</w:t>
      </w:r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>g</w:t>
      </w:r>
      <w:r>
        <w:rPr>
          <w:rFonts w:eastAsia="Symbol" w:cs="Arial"/>
          <w:sz w:val="28"/>
          <w:szCs w:val="28"/>
          <w:vertAlign w:val="subscript"/>
        </w:rPr>
        <w:t>2</w:t>
      </w:r>
      <w:r>
        <w:rPr>
          <w:rFonts w:eastAsia="Symbol" w:cs="Arial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eastAsia="Symbol" w:cs="Arial"/>
          <w:position w:val="0"/>
          <w:sz w:val="28"/>
          <w:sz w:val="28"/>
          <w:szCs w:val="28"/>
          <w:vertAlign w:val="baseline"/>
          <w:lang w:eastAsia="ja-JP"/>
        </w:rPr>
        <w:t>2,4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7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2,4</w:t>
      </w:r>
    </w:p>
    <w:p>
      <w:pPr>
        <w:pStyle w:val="Style2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 xml:space="preserve">3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= 2,51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8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2,48</w:t>
      </w:r>
    </w:p>
    <w:p>
      <w:pPr>
        <w:pStyle w:val="Normal"/>
        <w:jc w:val="left"/>
        <w:rPr>
          <w:rFonts w:ascii="Arial" w:hAnsi="Arial" w:eastAsia="Symbo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4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lang w:val="ru-RU" w:eastAsia="ja-JP"/>
        </w:rPr>
        <w:t xml:space="preserve"> = 2,36 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9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 w:eastAsia="ja-JP"/>
        </w:rPr>
      </w:pP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Symbo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5</w:t>
      </w:r>
      <w:r>
        <w:rPr>
          <w:rFonts w:eastAsia="Symbo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2,44</w:t>
        <w:tab/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g</w:t>
      </w:r>
      <w:r>
        <w:rPr>
          <w:rFonts w:eastAsia="Arial" w:cs="Arial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 w:eastAsia="ja-JP"/>
        </w:rPr>
        <w:t>10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= 2,56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/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Вывод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: В ходе выполнения лабораторной работы в результате прямых и косвенных измерений найдены время колебаний в зависимости от длины нити, проведены расчеты погрешностей косвенных измерений ускорения свободного падения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, углового коэффициента по графику. Все данные превышают свое табличное табличное значение.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Контрольные вопросы: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Математический маятник — материальная точка подвешанная на невесомой нерастяжимой нити длиной в поле силы тяжести.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Физический маятник — модель физического тела совершающего колебания.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0"/>
          <w:szCs w:val="30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 xml:space="preserve">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При достаточной малой амплитуде колебаний.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524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</w:r>
    </w:p>
    <w:p>
      <w:pPr>
        <w:pStyle w:val="Style20"/>
        <w:numPr>
          <w:ilvl w:val="0"/>
          <w:numId w:val="2"/>
        </w:numPr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  <w:t>Дифференциального уравнения свободных затухающих колебаний:</w:t>
      </w:r>
    </w:p>
    <w:p>
      <w:pPr>
        <w:pStyle w:val="Style20"/>
        <w:numPr>
          <w:ilvl w:val="0"/>
          <w:numId w:val="0"/>
        </w:numPr>
        <w:bidi w:val="0"/>
        <w:spacing w:lineRule="auto" w:line="288" w:before="0" w:after="0"/>
        <w:ind w:left="720" w:hanging="0"/>
        <w:jc w:val="righ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047240" cy="60007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numPr>
          <w:ilvl w:val="0"/>
          <w:numId w:val="2"/>
        </w:numPr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30"/>
          <w:u w:val="none"/>
          <w:effect w:val="none"/>
          <w:vertAlign w:val="baseline"/>
          <w:lang w:val="ru-RU" w:eastAsia="ja-JP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lang w:val="ru-RU" w:eastAsia="ja-JP"/>
        </w:rPr>
        <w:t>Решением Дифференциального уравнения является функция:</w:t>
      </w:r>
    </w:p>
    <w:p>
      <w:pPr>
        <w:pStyle w:val="Style20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53665" cy="4762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 w:eastAsia="ja-JP"/>
        </w:rPr>
        <w:t>Приведенная длина физического маятника — длина такого математического маятника, период колебаний данного физического маятника.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arial">
    <w:altName w:val="sans-serif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;Arial Unicode MS" w:cs="Tahoma"/>
      <w:color w:val="auto"/>
      <w:kern w:val="2"/>
      <w:sz w:val="24"/>
      <w:szCs w:val="24"/>
      <w:lang w:val="zxx" w:eastAsia="zxx" w:bidi="zxx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Символ сноски"/>
    <w:qFormat/>
    <w:rPr/>
  </w:style>
  <w:style w:type="character" w:styleId="Style14">
    <w:name w:val="Символы концевой сноск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Выделение"/>
    <w:qFormat/>
    <w:rPr>
      <w:i/>
      <w:iCs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Tahoma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um">
    <w:name w:val="sum"/>
    <w:basedOn w:val="Normal"/>
    <w:qFormat/>
    <w:pPr>
      <w:jc w:val="left"/>
    </w:pPr>
    <w:rPr>
      <w:rFonts w:ascii="Symbol" w:hAnsi="Symbol" w:eastAsia="Symbol" w:cs="Symbol"/>
      <w:b w:val="false"/>
      <w:bCs w:val="false"/>
      <w:i w:val="false"/>
      <w:iCs w:val="false"/>
      <w:sz w:val="22"/>
      <w:szCs w:val="22"/>
      <w:u w:val="none"/>
      <w:lang w:val="ru-RU" w:eastAsia="ja-JP"/>
    </w:rPr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Trio_Office/6.2.8.2$Windows_x86 LibreOffice_project/</Application>
  <Pages>5</Pages>
  <Words>550</Words>
  <Characters>3054</Characters>
  <CharactersWithSpaces>3767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2022-01-15T16:44:49Z</dcterms:modified>
  <cp:revision>16</cp:revision>
  <dc:subject/>
  <dc:title/>
</cp:coreProperties>
</file>