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БЮ ВО</w:t>
      </w:r>
    </w:p>
    <w:p>
      <w:pPr>
        <w:pStyle w:val="Style20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ХМАО-ЮГРЫ</w:t>
      </w:r>
    </w:p>
    <w:p>
      <w:pPr>
        <w:pStyle w:val="Style20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«Сургутский государственный университет»</w:t>
      </w:r>
    </w:p>
    <w:p>
      <w:pPr>
        <w:pStyle w:val="Style20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Политехнический институт</w:t>
      </w:r>
    </w:p>
    <w:p>
      <w:pPr>
        <w:pStyle w:val="Style20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 xml:space="preserve">Кафедра Информатика и вычислительная техника </w:t>
      </w:r>
    </w:p>
    <w:p>
      <w:pPr>
        <w:pStyle w:val="Style20"/>
        <w:spacing w:lineRule="atLeast" w:line="200" w:before="238" w:after="198"/>
        <w:jc w:val="center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Отчет по лабораторной</w:t>
      </w:r>
    </w:p>
    <w:p>
      <w:pPr>
        <w:pStyle w:val="Style20"/>
        <w:spacing w:lineRule="atLeast" w:line="200" w:before="238" w:after="198"/>
        <w:jc w:val="center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работе 7</w:t>
      </w:r>
    </w:p>
    <w:p>
      <w:pPr>
        <w:pStyle w:val="Normal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  <w:bookmarkStart w:id="0" w:name="docs-internal-guid-b1f3de5b-7fff-6b15-c5"/>
      <w:bookmarkStart w:id="1" w:name="docs-internal-guid-b1f3de5b-7fff-6b15-c5"/>
      <w:bookmarkEnd w:id="1"/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bookmarkStart w:id="2" w:name="docs-internal-guid-28c23c40-7fff-e559-fc"/>
      <w:bookmarkEnd w:id="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ОПРЕДЕЛЕНИЕ КОЭФФИЦИЕНТА ВЯЗКОСТИ ВОЗДУХА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КАПИЛЛЯРНЫМ МЕТОДОМ</w:t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Style20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0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0"/>
        <w:spacing w:lineRule="atLeast" w:line="200" w:before="238" w:after="198"/>
        <w:jc w:val="righ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Выполнил:Студент группы 606-11</w:t>
      </w:r>
    </w:p>
    <w:p>
      <w:pPr>
        <w:pStyle w:val="Style20"/>
        <w:spacing w:lineRule="atLeast" w:line="200" w:before="238" w:after="198"/>
        <w:jc w:val="righ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Демьянцев В. В.</w:t>
      </w:r>
    </w:p>
    <w:p>
      <w:pPr>
        <w:pStyle w:val="Style20"/>
        <w:spacing w:lineRule="atLeast" w:line="200" w:before="238" w:after="198"/>
        <w:jc w:val="righ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Проверила:Ненахова Н.А</w:t>
      </w:r>
    </w:p>
    <w:p>
      <w:pPr>
        <w:pStyle w:val="Style20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0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0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Сургут 2021г.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t>Описание экспериментальной установки</w:t>
        <w:br/>
      </w:r>
      <w:bookmarkStart w:id="3" w:name="docs-internal-guid-a47e4253-7fff-bf42-97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Экспериментальная установка (рис. 3.1) включает в себя экспериментальный макет и подключаемый к нему магазин сопротивлений R. Анодная цепь лампы, установленной в макете, состоит из микроамперметра и магазина сопротивлений, с помощью которого регулируют задерживающую разность потенциалов U. В цепи накала электронной лампы имеются резисторы  Rн1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Rн2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  переключатель  Кл, позволяющие дискретно менять мощность накала, и, соответственно, температуру катода электронной лампы. Напряжение от сети подается в цепь накала через понижающий трансформатор.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119495" cy="306451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sz w:val="28"/>
          <w:szCs w:val="28"/>
        </w:rPr>
      </w:pPr>
      <w:bookmarkStart w:id="4" w:name="docs-internal-guid-a63444b6-7fff-0726-49"/>
      <w:bookmarkEnd w:id="4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Цель работы: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изучение внутреннего трения воздуха, определение коэффициента динамической вязкости и длины свободного пробега молекул воздуха.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6"/>
        <w:jc w:val="left"/>
        <w:rPr>
          <w:b w:val="false"/>
          <w:sz w:val="28"/>
          <w:szCs w:val="28"/>
        </w:rPr>
      </w:pPr>
      <w:bookmarkStart w:id="5" w:name="docs-internal-guid-0c67afe1-7fff-94eb-0d"/>
      <w:bookmarkEnd w:id="5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Оборудование: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экспериментальная установка ФПТ1-1.</w:t>
      </w:r>
    </w:p>
    <w:p>
      <w:pPr>
        <w:pStyle w:val="Style21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1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η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  <m:oMath xmlns:m="http://schemas.openxmlformats.org/officeDocument/2006/math"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πR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Δp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Ql</m:t>
        </m:r>
      </m:oMath>
    </w:p>
    <w:p>
      <w:pPr>
        <w:pStyle w:val="Style21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7"/>
        <w:gridCol w:w="1928"/>
        <w:gridCol w:w="1927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№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Q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Ρ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, Па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η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,кг/(м*с)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л/мин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м^3/с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81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1,2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1,57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1,9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2,</w:t>
            </w:r>
            <w:r>
              <w:rPr>
                <w:sz w:val="28"/>
                <w:szCs w:val="28"/>
                <w:lang w:val="ru-RU" w:eastAsia="ja-JP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263</w:t>
            </w:r>
          </w:p>
        </w:tc>
      </w:tr>
    </w:tbl>
    <w:p>
      <w:pPr>
        <w:pStyle w:val="Style16"/>
        <w:jc w:val="center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ja-JP"/>
        </w:rPr>
        <w:t xml:space="preserve">ср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= 219кг/(м*с)</w:t>
      </w:r>
    </w:p>
    <w:p>
      <w:pPr>
        <w:pStyle w:val="Style21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r>
    </w:p>
    <w:p>
      <w:pPr>
        <w:pStyle w:val="Style21"/>
        <w:jc w:val="left"/>
        <w:rPr>
          <w:color w:val="000000"/>
          <w:sz w:val="28"/>
          <w:szCs w:val="28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Ρ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ru-RU" w:eastAsia="ja-JP"/>
        </w:rPr>
        <w:t xml:space="preserve">ср 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= 1.5</w:t>
      </w:r>
    </w:p>
    <w:p>
      <w:pPr>
        <w:pStyle w:val="Style21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1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09625" cy="485775"/>
            <wp:effectExtent l="0" t="0" r="0" b="0"/>
            <wp:wrapTopAndBottom/>
            <wp:docPr id="2" name="Графический 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υ</w:t>
      </w:r>
      <w:r>
        <w:rPr>
          <w:sz w:val="21"/>
          <w:szCs w:val="21"/>
          <w:lang w:val="ru-RU" w:eastAsia="ja-JP"/>
        </w:rPr>
        <w:t xml:space="preserve">r </w:t>
      </w:r>
      <w:r>
        <w:rPr>
          <w:sz w:val="28"/>
          <w:szCs w:val="28"/>
          <w:lang w:val="ru-RU" w:eastAsia="ja-JP"/>
        </w:rPr>
        <w:t xml:space="preserve">= 1,66 * 10^9 - </w:t>
      </w:r>
      <w:bookmarkStart w:id="6" w:name="docs-internal-guid-65e5ab9e-7fff-3267-00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t>скорость теплового движения молекул воздуха.</w:t>
      </w:r>
    </w:p>
    <w:p>
      <w:pPr>
        <w:pStyle w:val="Style16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2687955</wp:posOffset>
            </wp:positionH>
            <wp:positionV relativeFrom="paragraph">
              <wp:posOffset>259715</wp:posOffset>
            </wp:positionV>
            <wp:extent cx="742950" cy="514350"/>
            <wp:effectExtent l="0" t="0" r="0" b="0"/>
            <wp:wrapTopAndBottom/>
            <wp:docPr id="3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= 2,64 * 10</w:t>
      </w:r>
      <w:r>
        <w:rPr>
          <w:sz w:val="28"/>
          <w:szCs w:val="28"/>
          <w:lang w:val="ru-RU" w:eastAsia="ja-JP"/>
        </w:rPr>
        <w:t>^-7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 погрешностей результатов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η = 219±46</w:t>
      </w:r>
    </w:p>
    <w:p>
      <w:pPr>
        <w:pStyle w:val="Style21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r>
    </w:p>
    <w:p>
      <w:pPr>
        <w:pStyle w:val="Normal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ja-JP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ja-JP"/>
        </w:rPr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Мы определили коэффициент динамической вязкости и длины свободного пробега молекул воздуха.</w:t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Вопросы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  <w:bookmarkStart w:id="7" w:name="docs-internal-guid-2e54d065-7fff-b7eb-5b"/>
      <w:bookmarkStart w:id="8" w:name="docs-internal-guid-2e54d065-7fff-b7eb-5b"/>
      <w:bookmarkEnd w:id="8"/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Как определить наиболее вероятную, среднюю и среднеквадратичную скорости молекул идеального газа из распределения Максвелла по скоростям?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2. Каковы формулы для среднеквадратичной и наиболее вероятной скоростей идеального газа, позволяющие найти эти скорости по известной температуре газа?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3. Каков вид распределения Максвелла по абсолютным значениям скорости и по проекциям скорости на ось   х?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4. Какой вид имеет рабочая формула в данной работе ? Запишите ее. 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5. В каких переменных строится график в данной работе?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6. Что служит причиной возникновения тока в анодной цепи?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7. Каким образом можно изменять задерживающую разность потенциалов при заданном напряжении накала?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8. Изменяется ли величина задерживающей разности потенциалов</w:t>
      </w: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 изменении напряжения накала? Почему?</w:t>
      </w:r>
    </w:p>
    <w:p>
      <w:pPr>
        <w:pStyle w:val="Style16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9. Каким образом изменяют температуру катода в данной работе?</w:t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eastAsia="ja-JP"/>
        </w:rPr>
      </w:pPr>
      <w:r>
        <w:rPr>
          <w:b w:val="false"/>
          <w:bCs w:val="false"/>
          <w:color w:val="000000"/>
          <w:sz w:val="28"/>
          <w:szCs w:val="28"/>
          <w:lang w:eastAsia="ja-JP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eastAsia="ja-JP"/>
        </w:rPr>
      </w:pPr>
      <w:r>
        <w:rPr>
          <w:b w:val="false"/>
          <w:bCs w:val="false"/>
          <w:color w:val="000000"/>
          <w:sz w:val="28"/>
          <w:szCs w:val="28"/>
          <w:lang w:eastAsia="ja-JP"/>
        </w:rPr>
      </w:r>
    </w:p>
    <w:p>
      <w:pPr>
        <w:pStyle w:val="3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</w:pPr>
      <w:bookmarkStart w:id="9" w:name="%D0%9D%D0%B0%D0%B8%D0%B1%D0%BE%D0%BB%D0%"/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1.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Наболее вероятная скорость,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— скорость, вероятность обладания которой любой молекулой системы максимальна и которая соответствует максимальному значению плотности вероятности распределения. Чтобы найти её, необходимо вычислить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приравнять нулю и решить относительно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447675"/>
            <wp:effectExtent l="0" t="0" r="0" b="0"/>
            <wp:wrapTopAndBottom/>
            <wp:docPr id="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581025"/>
            <wp:effectExtent l="0" t="0" r="0" b="0"/>
            <wp:wrapTopAndBottom/>
            <wp:docPr id="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где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— масса рассматриваемой частицы,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— молярная масса.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0" w:name="%D0%A1%D1%80%D0%B5%D0%B4%D0%BD%D1%8F%D1%"/>
      <w:bookmarkStart w:id="11" w:name=".D0.A1.D1.80.D0.B5.D0.B4.D0.BD.D1.8F.D1."/>
      <w:bookmarkEnd w:id="10"/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Средняя скорость</w:t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3975" cy="676275"/>
            <wp:effectExtent l="0" t="0" r="0" b="0"/>
            <wp:wrapTopAndBottom/>
            <wp:docPr id="13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Подставляя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 интегрируя, мы получим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28800" cy="581025"/>
            <wp:effectExtent l="0" t="0" r="0" b="0"/>
            <wp:wrapTopAndBottom/>
            <wp:docPr id="16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3"/>
        <w:widowControl/>
        <w:pBdr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2" w:name="%D0%A1%D1%80%D0%B5%D0%B4%D0%BD%D0%B5%D0%"/>
      <w:bookmarkStart w:id="13" w:name=".D0.A1.D1.80.D0.B5.D0.B4.D0.BD.D0.B5.D0."/>
      <w:bookmarkEnd w:id="12"/>
      <w:bookmarkEnd w:id="1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Среднеквадратичная скорость</w:t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0" cy="676275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Подставляя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 интегрируя, мы получим: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4075" cy="581025"/>
            <wp:effectExtent l="0" t="0" r="0" b="0"/>
            <wp:wrapTopAndBottom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2. </w:t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3. </w:t>
      </w:r>
      <w:bookmarkStart w:id="14" w:name="%D0%A0%D0%B0%D1%81%D0%BF%D1%80%D0%B5%D0%"/>
      <w:bookmarkEnd w:id="14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Распределение по модулю скорости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Обычно, более интересно распределение по абсолютному значению, а не по проекциям скоростей молекул. Модуль скорости,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определяется как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38275" cy="371475"/>
            <wp:effectExtent l="0" t="0" r="0" b="0"/>
            <wp:wrapTopAndBottom/>
            <wp:docPr id="24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он всегда неотрицателен. Так как все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5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hyperlink r:id="rId27">
        <w:r>
          <w:rPr>
            <w:rStyle w:val="Style14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распределены нормально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6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будет иметь </w:t>
      </w:r>
      <w:hyperlink r:id="rId29">
        <w:r>
          <w:rPr>
            <w:rStyle w:val="Style14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хи-квадрат распределение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с тремя степенями свободы. Если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7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— </w:t>
      </w:r>
      <w:hyperlink r:id="rId31">
        <w:r>
          <w:rPr>
            <w:rStyle w:val="Style14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функция плотности вероятности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для модуля скорости, то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238125"/>
            <wp:effectExtent l="0" t="0" r="0" b="0"/>
            <wp:wrapTopAndBottom/>
            <wp:docPr id="28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где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9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7275" cy="238125"/>
            <wp:effectExtent l="0" t="0" r="0" b="0"/>
            <wp:wrapTopAndBottom/>
            <wp:docPr id="30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Таким образом, </w:t>
      </w:r>
      <w:hyperlink r:id="rId35">
        <w:r>
          <w:rPr>
            <w:rStyle w:val="Style14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функция плотности вероятности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для модуля скорости равна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485775"/>
            <wp:effectExtent l="0" t="0" r="0" b="0"/>
            <wp:wrapTopAndBottom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Вид функции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32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соответствует приведённому в преамбуле с тем отличием, что там используется формальная переменная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33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ради большей математической общности.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bookmarkStart w:id="15" w:name="%D0%A0%D0%B0%D1%81%D0%BF%D1%80%D0%B5%D0%"/>
      <w:bookmarkEnd w:id="15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Распределение по проекции скорости</w:t>
      </w:r>
    </w:p>
    <w:p>
      <w:pPr>
        <w:pStyle w:val="Style16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Распределение Максвелла для вектора скорости 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4605" cy="14605"/>
            <wp:effectExtent l="0" t="0" r="0" b="0"/>
            <wp:docPr id="34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 — является произведением распределений для каждого из трёх направлений:</w:t>
      </w:r>
    </w:p>
    <w:p>
      <w:pPr>
        <w:pStyle w:val="Style16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228600"/>
            <wp:effectExtent l="0" t="0" r="0" b="0"/>
            <wp:wrapTopAndBottom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где распределение по одному направлению: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571500"/>
            <wp:effectExtent l="0" t="0" r="0" b="0"/>
            <wp:wrapTopAndBottom/>
            <wp:docPr id="36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37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widowControl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Это распределение имеет форму </w:t>
      </w:r>
      <w:hyperlink r:id="rId43">
        <w:r>
          <w:rPr>
            <w:rStyle w:val="Style14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нормального распределения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Как и следует ожидать для покоящегося газа, средняя скорость в любом направлении равна нулю.</w:t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4.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r>
      <m:oMath xmlns:m="http://schemas.openxmlformats.org/officeDocument/2006/math"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πR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Δp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Ql</m:t>
        </m:r>
      </m:oMath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5.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ja-JP"/>
        </w:rPr>
        <w:t xml:space="preserve">Q, Ρ </w:t>
      </w:r>
    </w:p>
    <w:p>
      <w:pPr>
        <w:pStyle w:val="Style23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ja-JP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ja-JP"/>
        </w:rPr>
        <w:t>6 Управляющее напряжение на сетке, или ( для диодов) подача напряжения при замкнутой цепи.</w:t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7.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Изменяя анодное напряжение Ua. Этот вывод можно сделать исходя из вольт-амперной характеристики (ВАХ) : I=f(Ua)</w:t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9.</w:t>
      </w:r>
      <w:bookmarkStart w:id="16" w:name="docs-internal-guid-02359643-7fff-011a-32"/>
      <w:bookmarkEnd w:id="1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В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 цепи накала электронной лампы имеются резисторы  Rн1  Rн2  и  переключатель  Кл, позволяющие дискретно менять мощность накала, и, соответственно, температуру катода электронной лампы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</w:p>
    <w:p>
      <w:pPr>
        <w:pStyle w:val="Style16"/>
        <w:spacing w:before="0" w:after="12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sectPr>
      <w:type w:val="nextPage"/>
      <w:pgSz w:w="11905" w:h="16837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ahoma">
    <w:charset w:val="cc"/>
    <w:family w:val="swiss"/>
    <w:pitch w:val="variable"/>
  </w:font>
  <w:font w:name="Times New Roman">
    <w:charset w:val="cc"/>
    <w:family w:val="auto"/>
    <w:pitch w:val="default"/>
  </w:font>
  <w:font w:name="Whitney">
    <w:altName w:val="Helvetica Neue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3">
    <w:name w:val="Heading 3"/>
    <w:basedOn w:val="Style15"/>
    <w:next w:val="Style16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MS Mincho" w:cs="Tahoma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yle20">
    <w:name w:val="???????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00" w:before="0" w:after="0"/>
      <w:ind w:left="0" w:right="0" w:hanging="0"/>
    </w:pPr>
    <w:rPr>
      <w:rFonts w:ascii="Tahoma" w:hAnsi="Tahoma" w:eastAsia="Times New Roman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0"/>
      <w:u w:val="none"/>
      <w:lang w:val="ru-RU" w:eastAsia="ja-JP" w:bidi="fa-IR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Содержимое списка"/>
    <w:basedOn w:val="Normal"/>
    <w:qFormat/>
    <w:pPr>
      <w:ind w:left="567" w:right="0" w:hanging="0"/>
    </w:pPr>
    <w:rPr/>
  </w:style>
  <w:style w:type="paragraph" w:styleId="Style24">
    <w:name w:val="Заголовок списка"/>
    <w:basedOn w:val="Normal"/>
    <w:next w:val="Style23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yperlink" Target="https://ru.wikipedia.org/wiki/&#1053;&#1086;&#1088;&#1084;&#1072;&#1083;&#1100;&#1085;&#1086;&#1077;_&#1088;&#1072;&#1089;&#1087;&#1088;&#1077;&#1076;&#1077;&#1083;&#1077;&#1085;&#1080;&#1077;" TargetMode="External"/><Relationship Id="rId28" Type="http://schemas.openxmlformats.org/officeDocument/2006/relationships/image" Target="media/image26.png"/><Relationship Id="rId29" Type="http://schemas.openxmlformats.org/officeDocument/2006/relationships/hyperlink" Target="https://ru.wikipedia.org/wiki/&#1056;&#1072;&#1089;&#1087;&#1088;&#1077;&#1076;&#1077;&#1083;&#1077;&#1085;&#1080;&#1077;_&#1093;&#1080;-&#1082;&#1074;&#1072;&#1076;&#1088;&#1072;&#1090;" TargetMode="External"/><Relationship Id="rId30" Type="http://schemas.openxmlformats.org/officeDocument/2006/relationships/image" Target="media/image27.png"/><Relationship Id="rId31" Type="http://schemas.openxmlformats.org/officeDocument/2006/relationships/hyperlink" Target="https://ru.wikipedia.org/wiki/&#1060;&#1091;&#1085;&#1082;&#1094;&#1080;&#1103;_&#1087;&#1083;&#1086;&#1090;&#1085;&#1086;&#1089;&#1090;&#1080;_&#1074;&#1077;&#1088;&#1086;&#1103;&#1090;&#1085;&#1086;&#1089;&#1090;&#1080;" TargetMode="External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hyperlink" Target="https://ru.wikipedia.org/wiki/&#1060;&#1091;&#1085;&#1082;&#1094;&#1080;&#1103;_&#1087;&#1083;&#1086;&#1090;&#1085;&#1086;&#1089;&#1090;&#1080;_&#1074;&#1077;&#1088;&#1086;&#1103;&#1090;&#1085;&#1086;&#1089;&#1090;&#1080;" TargetMode="External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hyperlink" Target="https://ru.wikipedia.org/wiki/&#1053;&#1086;&#1088;&#1084;&#1072;&#1083;&#1100;&#1085;&#1086;&#1077;_&#1088;&#1072;&#1089;&#1087;&#1088;&#1077;&#1076;&#1077;&#1083;&#1077;&#1085;&#1080;&#1077;" TargetMode="Externa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Trio_Office/6.2.8.2$Windows_x86 LibreOffice_project/</Application>
  <Pages>6</Pages>
  <Words>547</Words>
  <Characters>3516</Characters>
  <CharactersWithSpaces>4017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2022-01-10T20:34:04Z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