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219DC4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1 (Титульный)</w:t>
      </w:r>
    </w:p>
    <w:p w14:paraId="04AE62CA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Здравствуйте, уважаемые члены комиссии!</w:t>
      </w:r>
    </w:p>
    <w:p w14:paraId="31109927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Вашему вниманию представляется выпускная квалификационная работа на тему: «Система распознавания эмоций человека на основе искусственной нейронной сети».</w:t>
      </w:r>
    </w:p>
    <w:p w14:paraId="64D048BA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Работу выполнил студент группы 606-22 Демьянцев Виталий. Научный руководитель —Горбунов Дмитрий Владимирович.</w:t>
      </w:r>
    </w:p>
    <w:p w14:paraId="2583066D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2 (Цель и задачи)</w:t>
      </w:r>
    </w:p>
    <w:p w14:paraId="2E9A4AEE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Целью работы является исследование предметной области, выбор моделей искусственных нейронных сетей и проектирование системы для распознавания эмоций человека на основе искусственной нейронной сети с использованием мультимодального анализа.</w:t>
      </w:r>
    </w:p>
    <w:p w14:paraId="7039634D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 соответствии с выданным заданием, в работе решаются следующие задачи: (читаешь список со слайда).</w:t>
      </w:r>
    </w:p>
    <w:p w14:paraId="64A36ED1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3 (Актуальность)</w:t>
      </w:r>
    </w:p>
    <w:p w14:paraId="6CDF2CDA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Актуальность темы обусловлена несколькими факторами.</w:t>
      </w:r>
    </w:p>
    <w:p w14:paraId="48C89ABC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Во-первых, в современных HR-процессах всё большее значение приобретает эмоциональный интеллект и объективная оценка состояния сотрудников. Традиционные методы, такие как анкетирование или субъективное мнение рекрутера, не дают точной и оперативной картины.</w:t>
      </w:r>
    </w:p>
    <w:p w14:paraId="52E4FBBB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Во-вторых, бурное развитие технологий ИИ позволяет автоматизировать этот анализ.</w:t>
      </w:r>
    </w:p>
    <w:p w14:paraId="359A222E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lastRenderedPageBreak/>
        <w:t xml:space="preserve">И, наконец, критически важным аспектом является соответствие требованиям ФЗ-152. Использование зарубежных </w:t>
      </w:r>
      <w:proofErr w:type="spellStart"/>
      <w:r w:rsidRPr="00A8360D">
        <w:rPr>
          <w:sz w:val="30"/>
          <w:szCs w:val="30"/>
        </w:rPr>
        <w:t>SaaS</w:t>
      </w:r>
      <w:proofErr w:type="spellEnd"/>
      <w:r w:rsidRPr="00A8360D">
        <w:rPr>
          <w:sz w:val="30"/>
          <w:szCs w:val="30"/>
        </w:rPr>
        <w:t>-решений несёт риски утечки персональных данных, поэтому разработка отечественной системы с локальной обработкой данных является востребованной задачей.</w:t>
      </w:r>
    </w:p>
    <w:p w14:paraId="751E121A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4 (Существующие решения)</w:t>
      </w:r>
    </w:p>
    <w:p w14:paraId="1DA97605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На рынке существуют известные аналоги, такие как </w:t>
      </w:r>
      <w:proofErr w:type="spellStart"/>
      <w:r w:rsidRPr="00A8360D">
        <w:rPr>
          <w:sz w:val="30"/>
          <w:szCs w:val="30"/>
        </w:rPr>
        <w:t>Affectiva</w:t>
      </w:r>
      <w:proofErr w:type="spellEnd"/>
      <w:r w:rsidRPr="00A8360D">
        <w:rPr>
          <w:sz w:val="30"/>
          <w:szCs w:val="30"/>
        </w:rPr>
        <w:t xml:space="preserve">, </w:t>
      </w:r>
      <w:proofErr w:type="spellStart"/>
      <w:r w:rsidRPr="00A8360D">
        <w:rPr>
          <w:sz w:val="30"/>
          <w:szCs w:val="30"/>
        </w:rPr>
        <w:t>Beyond</w:t>
      </w:r>
      <w:proofErr w:type="spellEnd"/>
      <w:r w:rsidRPr="00A8360D">
        <w:rPr>
          <w:sz w:val="30"/>
          <w:szCs w:val="30"/>
        </w:rPr>
        <w:t xml:space="preserve"> </w:t>
      </w:r>
      <w:proofErr w:type="spellStart"/>
      <w:r w:rsidRPr="00A8360D">
        <w:rPr>
          <w:sz w:val="30"/>
          <w:szCs w:val="30"/>
        </w:rPr>
        <w:t>Verbal</w:t>
      </w:r>
      <w:proofErr w:type="spellEnd"/>
      <w:r w:rsidRPr="00A8360D">
        <w:rPr>
          <w:sz w:val="30"/>
          <w:szCs w:val="30"/>
        </w:rPr>
        <w:t xml:space="preserve"> и </w:t>
      </w:r>
      <w:proofErr w:type="spellStart"/>
      <w:r w:rsidRPr="00A8360D">
        <w:rPr>
          <w:sz w:val="30"/>
          <w:szCs w:val="30"/>
        </w:rPr>
        <w:t>Emotient</w:t>
      </w:r>
      <w:proofErr w:type="spellEnd"/>
      <w:r w:rsidRPr="00A8360D">
        <w:rPr>
          <w:sz w:val="30"/>
          <w:szCs w:val="30"/>
        </w:rPr>
        <w:t>. Однако они имеют ряд существенных недостатков.</w:t>
      </w:r>
    </w:p>
    <w:p w14:paraId="092159FD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Системы компьютерного зрения не учитывают голос, аудиосистемы игнорируют мимику. Коммерческие мультимодальные решения стоят дорого, не адаптированы под российские HR-сценарии и не гарантируют соблюдение законодательства РФ.</w:t>
      </w:r>
    </w:p>
    <w:p w14:paraId="5F85ECEA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Разрабатываемая система лишена этих недостатков: она специализирована под HR, использует открытый технологический стек без лицензионных отчислений и обеспечивает локальную обработку данных.</w:t>
      </w:r>
    </w:p>
    <w:p w14:paraId="2FDEBB14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5 (BPMN-диаграмма)</w:t>
      </w:r>
    </w:p>
    <w:p w14:paraId="0EBBC197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Для формализации бизнес-процесса была построена BPMN-диаграмма. Она отражает целевой процесс оценки кандидата с использованием системы.</w:t>
      </w:r>
    </w:p>
    <w:p w14:paraId="53FE70BB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Процесс начинается с постановки задачи руководителем. HR-специалист аутентифицируется, создаёт сессию и получает согласие кандидата на обработку данных. Далее система в автоматическом режиме собирает </w:t>
      </w:r>
      <w:r w:rsidRPr="00A8360D">
        <w:rPr>
          <w:sz w:val="30"/>
          <w:szCs w:val="30"/>
        </w:rPr>
        <w:lastRenderedPageBreak/>
        <w:t>мультимодальные данные, анализирует их и формирует отчёт. На основе этого отчёта HR-специалист принимает объективное решение и уведомляет руководителя.</w:t>
      </w:r>
    </w:p>
    <w:p w14:paraId="63379C95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6 (IDEF0-диаграмма)</w:t>
      </w:r>
    </w:p>
    <w:p w14:paraId="677EFA7C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На функциональном уровне система представлена в виде IDEF0-диаграммы верхнего уровня.</w:t>
      </w:r>
    </w:p>
    <w:p w14:paraId="0D5C58A4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Входами в систему являются пользовательские запросы, список участников и конфигурация анализа. Управляющими факторами выступают нормативные документы (ФЗ-152) и алгоритмы детекции. Механизмами реализации являются серверная инфраструктура, клиентские устройства и сам пользователь. Единственным выходом системы является структурированный аналитический отчёт.</w:t>
      </w:r>
    </w:p>
    <w:p w14:paraId="2AC14D24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7 (Декомпозиция IDEF0)</w:t>
      </w:r>
    </w:p>
    <w:p w14:paraId="54B93572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Для детализации была выполнена декомпозиция на четыре ключевых подпроцесса.</w:t>
      </w:r>
    </w:p>
    <w:p w14:paraId="6044284F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Блок A1 — Проведение сессии</w:t>
      </w:r>
    </w:p>
    <w:p w14:paraId="31CB4CFF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Входы: пользовательский запрос, список участников.</w:t>
      </w:r>
    </w:p>
    <w:p w14:paraId="5F55947F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Управление: закон о персональных данных, согласие на захват медиа.</w:t>
      </w:r>
    </w:p>
    <w:p w14:paraId="712EBF60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Выходы: видеопоток и аудиопоток.</w:t>
      </w:r>
    </w:p>
    <w:p w14:paraId="2970ADA7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Блок A2 — Предобработка данных</w:t>
      </w:r>
    </w:p>
    <w:p w14:paraId="62C2A92C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Входы: сырые видеопоток и аудиопоток.</w:t>
      </w:r>
    </w:p>
    <w:p w14:paraId="60E0DE17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Управление: алгоритмы детекции.</w:t>
      </w:r>
    </w:p>
    <w:p w14:paraId="2DB501C8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Выходы: нормализованные признаки видео и аудио.</w:t>
      </w:r>
    </w:p>
    <w:p w14:paraId="14121EF0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Блок A3 — Анализ данных</w:t>
      </w:r>
    </w:p>
    <w:p w14:paraId="1639A964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lastRenderedPageBreak/>
        <w:t>Входы: подготовленные признаки.</w:t>
      </w:r>
    </w:p>
    <w:p w14:paraId="3D2430C1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Управление: обученные нейронные модели.</w:t>
      </w:r>
    </w:p>
    <w:p w14:paraId="306F2445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Выходы: результаты классификации эмоций, транскрипт речи, метрики тональности.</w:t>
      </w:r>
    </w:p>
    <w:p w14:paraId="32CF41D6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Блок A4 — Интерпретация результатов и формирование отчёта</w:t>
      </w:r>
    </w:p>
    <w:p w14:paraId="541D6F41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Входы: результаты анализа.</w:t>
      </w:r>
    </w:p>
    <w:p w14:paraId="0841F984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Управление: правила </w:t>
      </w:r>
      <w:proofErr w:type="spellStart"/>
      <w:r w:rsidRPr="00A8360D">
        <w:rPr>
          <w:sz w:val="30"/>
          <w:szCs w:val="30"/>
        </w:rPr>
        <w:t>late</w:t>
      </w:r>
      <w:proofErr w:type="spellEnd"/>
      <w:r w:rsidRPr="00A8360D">
        <w:rPr>
          <w:sz w:val="30"/>
          <w:szCs w:val="30"/>
        </w:rPr>
        <w:t xml:space="preserve"> </w:t>
      </w:r>
      <w:proofErr w:type="spellStart"/>
      <w:r w:rsidRPr="00A8360D">
        <w:rPr>
          <w:sz w:val="30"/>
          <w:szCs w:val="30"/>
        </w:rPr>
        <w:t>fusion</w:t>
      </w:r>
      <w:proofErr w:type="spellEnd"/>
      <w:r w:rsidRPr="00A8360D">
        <w:rPr>
          <w:sz w:val="30"/>
          <w:szCs w:val="30"/>
        </w:rPr>
        <w:t>.</w:t>
      </w:r>
    </w:p>
    <w:p w14:paraId="660DFBD1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Выходы: готовый аналитический отчёт.</w:t>
      </w:r>
    </w:p>
    <w:p w14:paraId="418269FA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8 (DFD)</w:t>
      </w:r>
    </w:p>
    <w:p w14:paraId="4328689F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Диаграмма потоков данных отражает движение информации между компонентами системы.</w:t>
      </w:r>
    </w:p>
    <w:p w14:paraId="00427C93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Сырые данные с камеры и микрофона поступают в процесс сбора, затем передаются на предобработку, после чего идут в модуль анализа. Результаты сохраняются в базе данных и используются для формирования отчёта HR-специалисту.</w:t>
      </w:r>
    </w:p>
    <w:p w14:paraId="11B1BA98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9 (Инфологическая модель)</w:t>
      </w:r>
    </w:p>
    <w:p w14:paraId="6A500C9E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Спроектирована инфологическая (ER) модель базы данных.</w:t>
      </w:r>
    </w:p>
    <w:p w14:paraId="1C0108D6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На слайде показаны основные сущности: пользователи, сессии, участники встречи, события аналитики.</w:t>
      </w:r>
    </w:p>
    <w:p w14:paraId="6EBCB3F5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Модель обеспечивает правильные связи между данными и поддерживает хранение результатов работы ИИ.</w:t>
      </w:r>
    </w:p>
    <w:p w14:paraId="5850C360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10 (Физическая модель БД)</w:t>
      </w:r>
    </w:p>
    <w:p w14:paraId="2D642001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На основе инфологической модели построена физическая модель базы данных на </w:t>
      </w:r>
      <w:proofErr w:type="spellStart"/>
      <w:r w:rsidRPr="00A8360D">
        <w:rPr>
          <w:sz w:val="30"/>
          <w:szCs w:val="30"/>
        </w:rPr>
        <w:t>PostgreSQL</w:t>
      </w:r>
      <w:proofErr w:type="spellEnd"/>
      <w:r w:rsidRPr="00A8360D">
        <w:rPr>
          <w:sz w:val="30"/>
          <w:szCs w:val="30"/>
        </w:rPr>
        <w:t>.</w:t>
      </w:r>
    </w:p>
    <w:p w14:paraId="752C8FF1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lastRenderedPageBreak/>
        <w:t>Особенность — широкое использование типа JSONB для хранения разнородных данных от нейросетей. Это позволяет гибко расширять аналитику без изменения структуры таблиц.</w:t>
      </w:r>
    </w:p>
    <w:p w14:paraId="499AF8A0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11 (Средства разработки)</w:t>
      </w:r>
    </w:p>
    <w:p w14:paraId="5940F780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Для клиентской части выбран </w:t>
      </w:r>
      <w:proofErr w:type="spellStart"/>
      <w:r w:rsidRPr="00A8360D">
        <w:rPr>
          <w:sz w:val="30"/>
          <w:szCs w:val="30"/>
        </w:rPr>
        <w:t>React</w:t>
      </w:r>
      <w:proofErr w:type="spellEnd"/>
      <w:r w:rsidRPr="00A8360D">
        <w:rPr>
          <w:sz w:val="30"/>
          <w:szCs w:val="30"/>
        </w:rPr>
        <w:t xml:space="preserve"> совместно с </w:t>
      </w:r>
      <w:proofErr w:type="spellStart"/>
      <w:r w:rsidRPr="00A8360D">
        <w:rPr>
          <w:sz w:val="30"/>
          <w:szCs w:val="30"/>
        </w:rPr>
        <w:t>TypeScript</w:t>
      </w:r>
      <w:proofErr w:type="spellEnd"/>
      <w:r w:rsidRPr="00A8360D">
        <w:rPr>
          <w:sz w:val="30"/>
          <w:szCs w:val="30"/>
        </w:rPr>
        <w:t xml:space="preserve"> и </w:t>
      </w:r>
      <w:proofErr w:type="spellStart"/>
      <w:r w:rsidRPr="00A8360D">
        <w:rPr>
          <w:sz w:val="30"/>
          <w:szCs w:val="30"/>
        </w:rPr>
        <w:t>Vite</w:t>
      </w:r>
      <w:proofErr w:type="spellEnd"/>
      <w:r w:rsidRPr="00A8360D">
        <w:rPr>
          <w:sz w:val="30"/>
          <w:szCs w:val="30"/>
        </w:rPr>
        <w:t>.</w:t>
      </w:r>
    </w:p>
    <w:p w14:paraId="2C63E07D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Для серверной части — язык Go с фреймворком </w:t>
      </w:r>
      <w:proofErr w:type="spellStart"/>
      <w:r w:rsidRPr="00A8360D">
        <w:rPr>
          <w:sz w:val="30"/>
          <w:szCs w:val="30"/>
        </w:rPr>
        <w:t>Gin</w:t>
      </w:r>
      <w:proofErr w:type="spellEnd"/>
      <w:r w:rsidRPr="00A8360D">
        <w:rPr>
          <w:sz w:val="30"/>
          <w:szCs w:val="30"/>
        </w:rPr>
        <w:t>.</w:t>
      </w:r>
    </w:p>
    <w:p w14:paraId="0EA7DFF9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Для модулей искусственного интеллекта — Python.</w:t>
      </w:r>
    </w:p>
    <w:p w14:paraId="59480EA6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В качестве базы данных используется </w:t>
      </w:r>
      <w:proofErr w:type="spellStart"/>
      <w:r w:rsidRPr="00A8360D">
        <w:rPr>
          <w:sz w:val="30"/>
          <w:szCs w:val="30"/>
        </w:rPr>
        <w:t>PostgreSQL</w:t>
      </w:r>
      <w:proofErr w:type="spellEnd"/>
      <w:r w:rsidRPr="00A8360D">
        <w:rPr>
          <w:sz w:val="30"/>
          <w:szCs w:val="30"/>
        </w:rPr>
        <w:t>.</w:t>
      </w:r>
    </w:p>
    <w:p w14:paraId="3C66E32D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Такой набор инструментов обеспечивает высокую производительность, безопасность и удобство разработки.</w:t>
      </w:r>
    </w:p>
    <w:p w14:paraId="52260C44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12 (Алгоритм работы)</w:t>
      </w:r>
    </w:p>
    <w:p w14:paraId="18B15B28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Общий алгоритм работы системы выглядит следующим образом: после аутентификации и создания сессии запускаются три параллельных потока: обработка видеокадров, обработка </w:t>
      </w:r>
      <w:proofErr w:type="spellStart"/>
      <w:r w:rsidRPr="00A8360D">
        <w:rPr>
          <w:sz w:val="30"/>
          <w:szCs w:val="30"/>
        </w:rPr>
        <w:t>аудиочанков</w:t>
      </w:r>
      <w:proofErr w:type="spellEnd"/>
      <w:r w:rsidRPr="00A8360D">
        <w:rPr>
          <w:sz w:val="30"/>
          <w:szCs w:val="30"/>
        </w:rPr>
        <w:t xml:space="preserve"> и приём сообщений чата.</w:t>
      </w:r>
    </w:p>
    <w:p w14:paraId="6702C7D3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Все события сохраняются в БД и транслируются в интерфейс в реальном времени. При завершении сессии генерируется итоговый отчёт.</w:t>
      </w:r>
    </w:p>
    <w:p w14:paraId="70B8CFA1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13 (Модуль анализа лица и эмоций)</w:t>
      </w:r>
    </w:p>
    <w:p w14:paraId="7D02357E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Модуль компьютерного зрения использует MTCNN для детекции лиц и библиотеку </w:t>
      </w:r>
      <w:proofErr w:type="spellStart"/>
      <w:r w:rsidRPr="00A8360D">
        <w:rPr>
          <w:sz w:val="30"/>
          <w:szCs w:val="30"/>
        </w:rPr>
        <w:t>DeepFace</w:t>
      </w:r>
      <w:proofErr w:type="spellEnd"/>
      <w:r w:rsidRPr="00A8360D">
        <w:rPr>
          <w:sz w:val="30"/>
          <w:szCs w:val="30"/>
        </w:rPr>
        <w:t xml:space="preserve"> на базе VGG-Face для классификации эмоциональных состояний.</w:t>
      </w:r>
    </w:p>
    <w:p w14:paraId="58CB1317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lastRenderedPageBreak/>
        <w:t xml:space="preserve">Система распознаёт эмоции по классификации Пола Экмана. Для оптимизации нагрузки реализован механизм ограничения параллельных </w:t>
      </w:r>
      <w:proofErr w:type="spellStart"/>
      <w:r w:rsidRPr="00A8360D">
        <w:rPr>
          <w:sz w:val="30"/>
          <w:szCs w:val="30"/>
        </w:rPr>
        <w:t>инференсов</w:t>
      </w:r>
      <w:proofErr w:type="spellEnd"/>
      <w:r w:rsidRPr="00A8360D">
        <w:rPr>
          <w:sz w:val="30"/>
          <w:szCs w:val="30"/>
        </w:rPr>
        <w:t>.</w:t>
      </w:r>
    </w:p>
    <w:p w14:paraId="01A83DFD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14 (Модуль распознавания речи)</w:t>
      </w:r>
    </w:p>
    <w:p w14:paraId="2E5EC437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Для </w:t>
      </w:r>
      <w:proofErr w:type="spellStart"/>
      <w:r w:rsidRPr="00A8360D">
        <w:rPr>
          <w:sz w:val="30"/>
          <w:szCs w:val="30"/>
        </w:rPr>
        <w:t>транскрибации</w:t>
      </w:r>
      <w:proofErr w:type="spellEnd"/>
      <w:r w:rsidRPr="00A8360D">
        <w:rPr>
          <w:sz w:val="30"/>
          <w:szCs w:val="30"/>
        </w:rPr>
        <w:t xml:space="preserve"> речи используется модель </w:t>
      </w:r>
      <w:proofErr w:type="spellStart"/>
      <w:r w:rsidRPr="00A8360D">
        <w:rPr>
          <w:sz w:val="30"/>
          <w:szCs w:val="30"/>
        </w:rPr>
        <w:t>Whisper</w:t>
      </w:r>
      <w:proofErr w:type="spellEnd"/>
      <w:r w:rsidRPr="00A8360D">
        <w:rPr>
          <w:sz w:val="30"/>
          <w:szCs w:val="30"/>
        </w:rPr>
        <w:t xml:space="preserve"> от OpenAI.</w:t>
      </w:r>
    </w:p>
    <w:p w14:paraId="049A3964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Чтобы обеспечить работу в реальном времени, применяется библиотека </w:t>
      </w:r>
      <w:proofErr w:type="spellStart"/>
      <w:r w:rsidRPr="00A8360D">
        <w:rPr>
          <w:sz w:val="30"/>
          <w:szCs w:val="30"/>
        </w:rPr>
        <w:t>faster-whisper</w:t>
      </w:r>
      <w:proofErr w:type="spellEnd"/>
      <w:r w:rsidRPr="00A8360D">
        <w:rPr>
          <w:sz w:val="30"/>
          <w:szCs w:val="30"/>
        </w:rPr>
        <w:t xml:space="preserve"> с квантованием весов и пакетной обработкой.</w:t>
      </w:r>
    </w:p>
    <w:p w14:paraId="2B987447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15 (Анализ тональности текста)</w:t>
      </w:r>
    </w:p>
    <w:p w14:paraId="12B199CE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Помимо акустических признаков, система анализирует смысл сказанного. Транскрибированный текст проходит через модель </w:t>
      </w:r>
      <w:proofErr w:type="spellStart"/>
      <w:r w:rsidRPr="00A8360D">
        <w:rPr>
          <w:sz w:val="30"/>
          <w:szCs w:val="30"/>
        </w:rPr>
        <w:t>DistilBERT</w:t>
      </w:r>
      <w:proofErr w:type="spellEnd"/>
      <w:r w:rsidRPr="00A8360D">
        <w:rPr>
          <w:sz w:val="30"/>
          <w:szCs w:val="30"/>
        </w:rPr>
        <w:t xml:space="preserve"> для определения тональности: позитивная, нейтральная или негативная.</w:t>
      </w:r>
    </w:p>
    <w:p w14:paraId="4266330A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Это позволяет реализовать принцип позднего слияния при формировании отчёта.</w:t>
      </w:r>
    </w:p>
    <w:p w14:paraId="65C0D57E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16 (</w:t>
      </w:r>
      <w:proofErr w:type="spellStart"/>
      <w:r w:rsidRPr="00A8360D">
        <w:rPr>
          <w:b/>
          <w:bCs/>
          <w:sz w:val="30"/>
          <w:szCs w:val="30"/>
        </w:rPr>
        <w:t>MediaPipe</w:t>
      </w:r>
      <w:proofErr w:type="spellEnd"/>
      <w:r w:rsidRPr="00A8360D">
        <w:rPr>
          <w:b/>
          <w:bCs/>
          <w:sz w:val="30"/>
          <w:szCs w:val="30"/>
        </w:rPr>
        <w:t xml:space="preserve"> Face </w:t>
      </w:r>
      <w:proofErr w:type="spellStart"/>
      <w:r w:rsidRPr="00A8360D">
        <w:rPr>
          <w:b/>
          <w:bCs/>
          <w:sz w:val="30"/>
          <w:szCs w:val="30"/>
        </w:rPr>
        <w:t>Landmarker</w:t>
      </w:r>
      <w:proofErr w:type="spellEnd"/>
      <w:r w:rsidRPr="00A8360D">
        <w:rPr>
          <w:b/>
          <w:bCs/>
          <w:sz w:val="30"/>
          <w:szCs w:val="30"/>
        </w:rPr>
        <w:t>)</w:t>
      </w:r>
    </w:p>
    <w:p w14:paraId="31CB369D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Для более детального анализа мимики в систему интегрирована модель </w:t>
      </w:r>
      <w:proofErr w:type="spellStart"/>
      <w:r w:rsidRPr="00A8360D">
        <w:rPr>
          <w:sz w:val="30"/>
          <w:szCs w:val="30"/>
        </w:rPr>
        <w:t>MediaPipe</w:t>
      </w:r>
      <w:proofErr w:type="spellEnd"/>
      <w:r w:rsidRPr="00A8360D">
        <w:rPr>
          <w:sz w:val="30"/>
          <w:szCs w:val="30"/>
        </w:rPr>
        <w:t xml:space="preserve"> Face </w:t>
      </w:r>
      <w:proofErr w:type="spellStart"/>
      <w:r w:rsidRPr="00A8360D">
        <w:rPr>
          <w:sz w:val="30"/>
          <w:szCs w:val="30"/>
        </w:rPr>
        <w:t>Landmarker</w:t>
      </w:r>
      <w:proofErr w:type="spellEnd"/>
      <w:r w:rsidRPr="00A8360D">
        <w:rPr>
          <w:sz w:val="30"/>
          <w:szCs w:val="30"/>
        </w:rPr>
        <w:t>.</w:t>
      </w:r>
    </w:p>
    <w:p w14:paraId="5BFAF7D4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Она строит сетку из 468 трёхмерных ключевых точек лица, что позволяет отслеживать положение головы, активность лицевых мышц и </w:t>
      </w:r>
      <w:proofErr w:type="spellStart"/>
      <w:r w:rsidRPr="00A8360D">
        <w:rPr>
          <w:sz w:val="30"/>
          <w:szCs w:val="30"/>
        </w:rPr>
        <w:t>микровыражения</w:t>
      </w:r>
      <w:proofErr w:type="spellEnd"/>
      <w:r w:rsidRPr="00A8360D">
        <w:rPr>
          <w:sz w:val="30"/>
          <w:szCs w:val="30"/>
        </w:rPr>
        <w:t>.</w:t>
      </w:r>
    </w:p>
    <w:p w14:paraId="46027534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17 (Интерфейс системы)</w:t>
      </w:r>
    </w:p>
    <w:p w14:paraId="67572906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Разработанный интерфейс представляет собой одностраничное приложение. На слайде представлен заполненный интерфейс системы с тестовыми данными: </w:t>
      </w:r>
      <w:r w:rsidRPr="00A8360D">
        <w:rPr>
          <w:sz w:val="30"/>
          <w:szCs w:val="30"/>
        </w:rPr>
        <w:lastRenderedPageBreak/>
        <w:t>виден список проведённых сессий, аналитика в реальном времени и карточки участников.</w:t>
      </w:r>
    </w:p>
    <w:p w14:paraId="15CDC2EB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Интерфейс поддерживает адаптивную вёрстку, тёмную тему и удобное управление медиаустройствами.</w:t>
      </w:r>
    </w:p>
    <w:p w14:paraId="11BB6EE4" w14:textId="77777777" w:rsidR="00242733" w:rsidRPr="00A8360D" w:rsidRDefault="00242733" w:rsidP="00242733">
      <w:pPr>
        <w:spacing w:before="0" w:after="0" w:line="240" w:lineRule="auto"/>
        <w:rPr>
          <w:b/>
          <w:bCs/>
          <w:sz w:val="30"/>
          <w:szCs w:val="30"/>
        </w:rPr>
      </w:pPr>
      <w:r w:rsidRPr="00A8360D">
        <w:rPr>
          <w:b/>
          <w:bCs/>
          <w:sz w:val="30"/>
          <w:szCs w:val="30"/>
        </w:rPr>
        <w:t>Слайд 18 (Заключение)</w:t>
      </w:r>
    </w:p>
    <w:p w14:paraId="5E99D92C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В заключение хочу отметить, что цель работы достигнута, все задачи, поставленные в задании, выполнены в полном объёме.</w:t>
      </w:r>
    </w:p>
    <w:p w14:paraId="4F2D5D9A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Разработан и протестирован программный комплекс, который готов к внедрению в HR-процессы. Он позволяет повысить объективность оценки кандидатов и снизить нагрузку на специалистов по персоналу.</w:t>
      </w:r>
    </w:p>
    <w:p w14:paraId="1A6CB703" w14:textId="77777777" w:rsidR="0024273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 xml:space="preserve">В перспективе планируется оптимизация потоковой </w:t>
      </w:r>
      <w:proofErr w:type="spellStart"/>
      <w:r w:rsidRPr="00A8360D">
        <w:rPr>
          <w:sz w:val="30"/>
          <w:szCs w:val="30"/>
        </w:rPr>
        <w:t>транскрибации</w:t>
      </w:r>
      <w:proofErr w:type="spellEnd"/>
      <w:r w:rsidRPr="00A8360D">
        <w:rPr>
          <w:sz w:val="30"/>
          <w:szCs w:val="30"/>
        </w:rPr>
        <w:t xml:space="preserve"> и интеграция с корпоративными HRM-системами.</w:t>
      </w:r>
    </w:p>
    <w:p w14:paraId="28B1B6EC" w14:textId="57B5AE4D" w:rsidR="005E3F63" w:rsidRPr="00A8360D" w:rsidRDefault="00242733" w:rsidP="00242733">
      <w:pPr>
        <w:spacing w:before="0" w:after="0" w:line="240" w:lineRule="auto"/>
        <w:rPr>
          <w:sz w:val="30"/>
          <w:szCs w:val="30"/>
        </w:rPr>
      </w:pPr>
      <w:r w:rsidRPr="00A8360D">
        <w:rPr>
          <w:sz w:val="30"/>
          <w:szCs w:val="30"/>
        </w:rPr>
        <w:t>Доклад окончен. Спасибо за внимание, готов ответить на ваши вопросы!</w:t>
      </w:r>
    </w:p>
    <w:sectPr w:rsidR="005E3F63" w:rsidRPr="00A8360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70EDE"/>
    <w:multiLevelType w:val="hybridMultilevel"/>
    <w:tmpl w:val="2B14090E"/>
    <w:lvl w:ilvl="0" w:tplc="A4A8742C">
      <w:start w:val="1"/>
      <w:numFmt w:val="decimal"/>
      <w:lvlText w:val="%1."/>
      <w:lvlJc w:val="left"/>
      <w:pPr>
        <w:ind w:left="360" w:hanging="259"/>
      </w:pPr>
    </w:lvl>
    <w:lvl w:ilvl="1" w:tplc="1A8241E6">
      <w:start w:val="1"/>
      <w:numFmt w:val="lowerLetter"/>
      <w:lvlText w:val="%2."/>
      <w:lvlJc w:val="left"/>
      <w:pPr>
        <w:ind w:left="720" w:hanging="259"/>
      </w:pPr>
    </w:lvl>
    <w:lvl w:ilvl="2" w:tplc="710A0A0E">
      <w:start w:val="1"/>
      <w:numFmt w:val="lowerRoman"/>
      <w:lvlText w:val="%3."/>
      <w:lvlJc w:val="left"/>
      <w:pPr>
        <w:ind w:left="1080" w:hanging="259"/>
      </w:pPr>
    </w:lvl>
    <w:lvl w:ilvl="3" w:tplc="2FFAD9EE">
      <w:start w:val="1"/>
      <w:numFmt w:val="upperLetter"/>
      <w:lvlText w:val="%4."/>
      <w:lvlJc w:val="left"/>
      <w:pPr>
        <w:ind w:left="1440" w:hanging="259"/>
      </w:pPr>
    </w:lvl>
    <w:lvl w:ilvl="4" w:tplc="2EA6F6A2">
      <w:start w:val="1"/>
      <w:numFmt w:val="upperRoman"/>
      <w:lvlText w:val="%5."/>
      <w:lvlJc w:val="left"/>
      <w:pPr>
        <w:ind w:left="1800" w:hanging="259"/>
      </w:pPr>
    </w:lvl>
    <w:lvl w:ilvl="5" w:tplc="54B4F62C">
      <w:start w:val="1"/>
      <w:numFmt w:val="decimal"/>
      <w:lvlText w:val="%6."/>
      <w:lvlJc w:val="left"/>
      <w:pPr>
        <w:ind w:left="2160" w:hanging="259"/>
      </w:pPr>
    </w:lvl>
    <w:lvl w:ilvl="6" w:tplc="B844B8BA">
      <w:numFmt w:val="decimal"/>
      <w:lvlText w:val=""/>
      <w:lvlJc w:val="left"/>
    </w:lvl>
    <w:lvl w:ilvl="7" w:tplc="5DCE3A90">
      <w:numFmt w:val="decimal"/>
      <w:lvlText w:val=""/>
      <w:lvlJc w:val="left"/>
    </w:lvl>
    <w:lvl w:ilvl="8" w:tplc="24CAA920">
      <w:numFmt w:val="decimal"/>
      <w:lvlText w:val=""/>
      <w:lvlJc w:val="left"/>
    </w:lvl>
  </w:abstractNum>
  <w:abstractNum w:abstractNumId="1" w15:restartNumberingAfterBreak="0">
    <w:nsid w:val="131B284D"/>
    <w:multiLevelType w:val="hybridMultilevel"/>
    <w:tmpl w:val="AB600FE4"/>
    <w:lvl w:ilvl="0" w:tplc="0F4C5B80">
      <w:start w:val="1"/>
      <w:numFmt w:val="bullet"/>
      <w:lvlText w:val="●"/>
      <w:lvlJc w:val="left"/>
      <w:pPr>
        <w:ind w:left="720" w:hanging="360"/>
      </w:pPr>
    </w:lvl>
    <w:lvl w:ilvl="1" w:tplc="9A1CB700">
      <w:start w:val="1"/>
      <w:numFmt w:val="bullet"/>
      <w:lvlText w:val="○"/>
      <w:lvlJc w:val="left"/>
      <w:pPr>
        <w:ind w:left="1440" w:hanging="360"/>
      </w:pPr>
    </w:lvl>
    <w:lvl w:ilvl="2" w:tplc="185CD092">
      <w:start w:val="1"/>
      <w:numFmt w:val="bullet"/>
      <w:lvlText w:val="■"/>
      <w:lvlJc w:val="left"/>
      <w:pPr>
        <w:ind w:left="2160" w:hanging="360"/>
      </w:pPr>
    </w:lvl>
    <w:lvl w:ilvl="3" w:tplc="1F86D9A0">
      <w:start w:val="1"/>
      <w:numFmt w:val="bullet"/>
      <w:lvlText w:val="●"/>
      <w:lvlJc w:val="left"/>
      <w:pPr>
        <w:ind w:left="2880" w:hanging="360"/>
      </w:pPr>
    </w:lvl>
    <w:lvl w:ilvl="4" w:tplc="8EEA244C">
      <w:start w:val="1"/>
      <w:numFmt w:val="bullet"/>
      <w:lvlText w:val="○"/>
      <w:lvlJc w:val="left"/>
      <w:pPr>
        <w:ind w:left="3600" w:hanging="360"/>
      </w:pPr>
    </w:lvl>
    <w:lvl w:ilvl="5" w:tplc="D974D588">
      <w:start w:val="1"/>
      <w:numFmt w:val="bullet"/>
      <w:lvlText w:val="■"/>
      <w:lvlJc w:val="left"/>
      <w:pPr>
        <w:ind w:left="4320" w:hanging="360"/>
      </w:pPr>
    </w:lvl>
    <w:lvl w:ilvl="6" w:tplc="48988538">
      <w:start w:val="1"/>
      <w:numFmt w:val="bullet"/>
      <w:lvlText w:val="●"/>
      <w:lvlJc w:val="left"/>
      <w:pPr>
        <w:ind w:left="5040" w:hanging="360"/>
      </w:pPr>
    </w:lvl>
    <w:lvl w:ilvl="7" w:tplc="13F05638">
      <w:start w:val="1"/>
      <w:numFmt w:val="bullet"/>
      <w:lvlText w:val="●"/>
      <w:lvlJc w:val="left"/>
      <w:pPr>
        <w:ind w:left="5760" w:hanging="360"/>
      </w:pPr>
    </w:lvl>
    <w:lvl w:ilvl="8" w:tplc="0BECA8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ED4478C"/>
    <w:multiLevelType w:val="hybridMultilevel"/>
    <w:tmpl w:val="38D6EC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634243">
    <w:abstractNumId w:val="1"/>
    <w:lvlOverride w:ilvl="0">
      <w:startOverride w:val="1"/>
    </w:lvlOverride>
  </w:num>
  <w:num w:numId="2" w16cid:durableId="7472663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F63"/>
    <w:rsid w:val="000040BA"/>
    <w:rsid w:val="00027082"/>
    <w:rsid w:val="00090F0C"/>
    <w:rsid w:val="00121EFD"/>
    <w:rsid w:val="001242F6"/>
    <w:rsid w:val="00170BC1"/>
    <w:rsid w:val="00242733"/>
    <w:rsid w:val="003B5519"/>
    <w:rsid w:val="003C78EF"/>
    <w:rsid w:val="00435780"/>
    <w:rsid w:val="0049192D"/>
    <w:rsid w:val="005E3F63"/>
    <w:rsid w:val="006E3742"/>
    <w:rsid w:val="00860D5D"/>
    <w:rsid w:val="00941ACF"/>
    <w:rsid w:val="00A107C4"/>
    <w:rsid w:val="00A64E2A"/>
    <w:rsid w:val="00A8360D"/>
    <w:rsid w:val="00A83807"/>
    <w:rsid w:val="00A90614"/>
    <w:rsid w:val="00B57A20"/>
    <w:rsid w:val="00B77498"/>
    <w:rsid w:val="00CC7A8C"/>
    <w:rsid w:val="00D16324"/>
    <w:rsid w:val="00D67B7C"/>
    <w:rsid w:val="00DD5E16"/>
    <w:rsid w:val="00E55CAB"/>
    <w:rsid w:val="00E63D2E"/>
    <w:rsid w:val="00EC3BB0"/>
    <w:rsid w:val="00EE2162"/>
    <w:rsid w:val="00EE6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CC76"/>
  <w15:docId w15:val="{6ACD9899-0D15-4DBB-8A55-B09DCEB7C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crosoft YaHei" w:eastAsia="Microsoft YaHei" w:hAnsi="Microsoft YaHei" w:cs="Microsoft YaHei"/>
        <w:sz w:val="24"/>
        <w:szCs w:val="24"/>
        <w:lang w:val="ru-RU" w:eastAsia="ru-RU" w:bidi="ar-SA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288" w:after="180"/>
      <w:outlineLvl w:val="1"/>
    </w:pPr>
    <w:rPr>
      <w:b/>
      <w:bCs/>
      <w:color w:val="2E74B5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52" w:after="144"/>
      <w:outlineLvl w:val="2"/>
    </w:pPr>
    <w:rPr>
      <w:b/>
      <w:bCs/>
      <w:color w:val="2E74B5"/>
      <w:sz w:val="26"/>
      <w:szCs w:val="26"/>
    </w:rPr>
  </w:style>
  <w:style w:type="paragraph" w:styleId="4">
    <w:name w:val="heading 4"/>
    <w:uiPriority w:val="9"/>
    <w:semiHidden/>
    <w:unhideWhenUsed/>
    <w:qFormat/>
    <w:pPr>
      <w:spacing w:before="215" w:after="126"/>
      <w:outlineLvl w:val="3"/>
    </w:pPr>
    <w:rPr>
      <w:b/>
      <w:bCs/>
      <w:color w:val="2E74B5"/>
    </w:rPr>
  </w:style>
  <w:style w:type="paragraph" w:styleId="5">
    <w:name w:val="heading 5"/>
    <w:uiPriority w:val="9"/>
    <w:semiHidden/>
    <w:unhideWhenUsed/>
    <w:qFormat/>
    <w:pPr>
      <w:spacing w:before="180" w:after="107"/>
      <w:outlineLvl w:val="4"/>
    </w:pPr>
    <w:rPr>
      <w:b/>
      <w:bCs/>
      <w:color w:val="2E74B5"/>
      <w:sz w:val="22"/>
      <w:szCs w:val="22"/>
    </w:rPr>
  </w:style>
  <w:style w:type="paragraph" w:styleId="6">
    <w:name w:val="heading 6"/>
    <w:uiPriority w:val="9"/>
    <w:semiHidden/>
    <w:unhideWhenUsed/>
    <w:qFormat/>
    <w:pPr>
      <w:spacing w:before="180" w:after="107"/>
      <w:outlineLvl w:val="5"/>
    </w:pPr>
    <w:rPr>
      <w:b/>
      <w:bCs/>
      <w:color w:val="2E74B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8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98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5780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26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1084</Words>
  <Characters>6183</Characters>
  <Application>Microsoft Office Word</Application>
  <DocSecurity>0</DocSecurity>
  <Lines>51</Lines>
  <Paragraphs>14</Paragraphs>
  <ScaleCrop>false</ScaleCrop>
  <Company/>
  <LinksUpToDate>false</LinksUpToDate>
  <CharactersWithSpaces>7253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Виталий Демьянцев</cp:lastModifiedBy>
  <cp:revision>25</cp:revision>
  <dcterms:created xsi:type="dcterms:W3CDTF">2026-06-22T07:26:00Z</dcterms:created>
  <dcterms:modified xsi:type="dcterms:W3CDTF">2026-06-30T16:35:00Z</dcterms:modified>
</cp:coreProperties>
</file>