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383719">
      <w:pPr>
        <w:pStyle w:val="139"/>
        <w:numPr>
          <w:ilvl w:val="0"/>
          <w:numId w:val="2"/>
        </w:numPr>
        <w:pBdr/>
        <w:spacing w:after="200"/>
        <w:ind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18" w:name="_Toc195530213"/>
      <w:r>
        <w:rPr>
          <w:rFonts w:ascii="Times new roman" w:hAnsi="Times new roman" w:eastAsia="Times new roman" w:cs="Times new roman"/>
          <w:sz w:val="28"/>
          <w:szCs w:val="28"/>
        </w:rPr>
        <w:t xml:space="preserve">ВИДЫ ОБЕСПЕЧЕНИЯ</w:t>
      </w:r>
      <w:bookmarkEnd w:id="1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29EB56">
      <w:pPr>
        <w:pBdr/>
        <w:spacing w:after="480" w:line="240" w:lineRule="auto"/>
        <w:ind/>
        <w:contextualSpacing w:val="true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мультимодальной системы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894AA1">
      <w:pPr>
        <w:pStyle w:val="140"/>
        <w:numPr>
          <w:ilvl w:val="1"/>
          <w:numId w:val="21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2" w:name="_Toc195530217"/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Техническое обеспечение</w:t>
      </w:r>
      <w:bookmarkEnd w:id="2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7827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клиентской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57831A">
      <w:pPr>
        <w:pStyle w:val="1_47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Процессор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4 ядра (Intel Core i3 или AMD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Ryzen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3, начиная с 2015 года).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CB124C">
      <w:pPr>
        <w:pStyle w:val="1_47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Оперативная память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8 ГБ.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691EC7">
      <w:pPr>
        <w:pStyle w:val="1_47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Видеокарта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NVIDIA GT 1030 или встроенная графика Intel HD Graphics 620.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8E4F90">
      <w:pPr>
        <w:pStyle w:val="1_47"/>
        <w:numPr>
          <w:ilvl w:val="0"/>
          <w:numId w:val="2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Свободное место на диске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50 ГБ (рекомендуется SSD).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CD828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Рекомендуемые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188A8C">
      <w:pPr>
        <w:pStyle w:val="1_47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Процессор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6 ядер (Intel Core i5 или AMD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Ryzen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5, начиная с 2018 года).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5C76DD">
      <w:pPr>
        <w:pStyle w:val="1_47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Оперативная память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16 ГБ.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C60BBF">
      <w:pPr>
        <w:pStyle w:val="1_47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Видеокарта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NVIDIA GTX 1060 6 ГБ или выше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832226">
      <w:pPr>
        <w:pStyle w:val="1_47"/>
        <w:numPr>
          <w:ilvl w:val="0"/>
          <w:numId w:val="2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Свободное место на диске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100 ГБ (SSD).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EEE0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Аппаратное обеспечение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018FBA">
      <w:pPr>
        <w:pStyle w:val="1_47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Камеры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Разрешение 1080p, частота кадров 30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fps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поддержка инфракрасного режима для работы в условиях слабого освещения.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02CD65">
      <w:pPr>
        <w:pStyle w:val="1_47"/>
        <w:numPr>
          <w:ilvl w:val="0"/>
          <w:numId w:val="2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Микрофоны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Частота дискретизации 44.1 кГц, направленные или всенаправленные в зависимости от сценария (собеседование, мониторинг)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BEB169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B3773D">
      <w:pPr>
        <w:pStyle w:val="1_47"/>
        <w:pBdr/>
        <w:spacing/>
        <w:ind w:firstLine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Требования к серверу для выполнения нейросетевых вычислений в реальном времени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09C545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GPU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графический ускоритель с поддержкой параллельных вычислений (CUDA/OpenCL).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5C85D4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Видеопамять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(VRAM): не менее 10–12 ГБ для обработки потоков 1080p.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BF9221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Процессор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от 12 vCPU (для предобработки данных и обслуживания потоков).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D348A4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Оперативная память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от 32 ГБ.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D62495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Накопитель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NVMe SSD от 500 ГБ.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62225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Сетевой интерфейс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от 1 Gbps.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49422E">
      <w:pPr>
        <w:pStyle w:val="140"/>
        <w:numPr>
          <w:ilvl w:val="1"/>
          <w:numId w:val="29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5" w:name="_Toc195530220"/>
      <w:r>
        <w:rPr>
          <w:rFonts w:ascii="Times new roman" w:hAnsi="Times new roman" w:eastAsia="Times new roman" w:cs="Times new roman"/>
          <w:sz w:val="28"/>
          <w:szCs w:val="28"/>
        </w:rPr>
        <w:t xml:space="preserve">Эргономическое обеспечение</w:t>
      </w:r>
      <w:bookmarkEnd w:id="25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DD63C8">
      <w:pPr>
        <w:pBdr/>
        <w:spacing/>
        <w:ind w:firstLine="708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удобства использования системы применяются следующие решения: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28A517">
      <w:pPr>
        <w:numPr>
          <w:ilvl w:val="0"/>
          <w:numId w:val="30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Мониторы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Дисплей с диагональю от 24 дюймов, разрешением 1920x1080, частотой обновления 60 Гц для комфортного просмотра видеопотока и графиков.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287ADF">
      <w:pPr>
        <w:numPr>
          <w:ilvl w:val="0"/>
          <w:numId w:val="30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Клавиатура и мышь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Эргономичные устройства с минимальным уровнем шума для длительной работы HR-менеджера.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5300B6">
      <w:pPr>
        <w:numPr>
          <w:ilvl w:val="0"/>
          <w:numId w:val="30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Камеры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Регулируемые крепления для точного позиционирования, угол обзора 90°.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575576">
      <w:pPr>
        <w:numPr>
          <w:ilvl w:val="0"/>
          <w:numId w:val="30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Интерфейс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Минималистичный дизайн с крупными шрифтами (не менее 14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контрастными цветами (например, тёмный фон, светлый текст) и интуитивным расположением элементов управления.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BB4FCD">
      <w:pPr>
        <w:pBdr/>
        <w:spacing/>
        <w:ind w:firstLine="708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меры снижают нагрузку на пользователя и повышают эффективность работы с системой.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7A8A79">
      <w:pPr>
        <w:pStyle w:val="140"/>
        <w:numPr>
          <w:ilvl w:val="1"/>
          <w:numId w:val="21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3" w:name="_Toc195530218"/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Программное обеспечение</w:t>
      </w:r>
      <w:bookmarkEnd w:id="2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C29AFA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реализации системы используются следующие программные средства: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5CCC0D">
      <w:pPr>
        <w:pStyle w:val="1_47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Visual Studio 2022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разработка на C# с использованием .NET Framework 4.7.2 или .NET 6.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E26040">
      <w:pPr>
        <w:pStyle w:val="1_47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Python 3.9+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реализация нейросетевых алгоритмов с библиотеками: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E6FF32">
      <w:pPr>
        <w:pStyle w:val="1_47"/>
        <w:numPr>
          <w:ilvl w:val="1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TensorFlow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PyTorch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обучения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inference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нейронных сетей.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814121">
      <w:pPr>
        <w:pStyle w:val="1_47"/>
        <w:numPr>
          <w:ilvl w:val="1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OpenCV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обработки видеопотока.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EFB89B">
      <w:pPr>
        <w:pStyle w:val="1_47"/>
        <w:numPr>
          <w:ilvl w:val="1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Librosa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анализа аудиопотока.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79F4F0">
      <w:pPr>
        <w:pStyle w:val="1_47"/>
        <w:numPr>
          <w:ilvl w:val="0"/>
          <w:numId w:val="2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 15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управление базой данных с поддержкой расширений для хранения больших данных (видео, аудио).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338C7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Требования к коду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8DA631">
      <w:pPr>
        <w:pStyle w:val="1_47"/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должен быть модульным, с чётким разделением на слои (сбор данных, обработка, анализ, интерфейс).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58BADF">
      <w:pPr>
        <w:pStyle w:val="1_47"/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Использование объектно-ориентированного подхода в C# и Python.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FBFFCA">
      <w:pPr>
        <w:pStyle w:val="1_47"/>
        <w:numPr>
          <w:ilvl w:val="0"/>
          <w:numId w:val="2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Комментарии к коду на русском языке для упрощения поддержки.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DDDE84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приложения доступна для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linux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 возможностью портирования на другие платформы.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FF74C1">
      <w:pPr>
        <w:pStyle w:val="140"/>
        <w:numPr>
          <w:ilvl w:val="1"/>
          <w:numId w:val="2"/>
        </w:numPr>
        <w:pBdr/>
        <w:spacing w:after="480" w:before="0"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19" w:name="_Toc195530214"/>
      <w:r>
        <w:rPr>
          <w:rFonts w:ascii="Times new roman" w:hAnsi="Times new roman" w:eastAsia="Times new roman" w:cs="Times new roman"/>
          <w:sz w:val="28"/>
          <w:szCs w:val="28"/>
        </w:rPr>
        <w:t xml:space="preserve">Лингвистическое обеспечение</w:t>
      </w:r>
      <w:bookmarkEnd w:id="19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B40502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основного языка программирования для реализации системы выбран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C#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Visual Studio 2022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обеспечивающая удобные инструменты для написания, отладки и тестирования программ на C#.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61ADBE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TensorFlow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PyTorch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97CF6E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СУБД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Это обеспечивает эффективное хранение и быстрый доступ к структурированным данным.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C7DC86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приведены некоторые профессиональные термины, используемые в проекте: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7C1328">
      <w:pPr>
        <w:pBdr/>
        <w:spacing w:after="480" w:line="240" w:lineRule="auto"/>
        <w:ind/>
        <w:contextualSpacing w:val="tru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Термины и их определения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656"/>
      </w:tblGrid>
      <w:tr>
        <w:trPr/>
        <w:tc>
          <w:tcPr>
            <w:tcBorders/>
            <w:tcW w:w="2689" w:type="dxa"/>
            <w:textDirection w:val="lrTb"/>
            <w:noWrap w:val="false"/>
          </w:tcPr>
          <w:p w14:paraId="12358D40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  <w:t xml:space="preserve">Термин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6722C36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  <w:t xml:space="preserve">Определение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01536DF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Компьютерное зрение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2763E3D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Технология анализа видеопотока для распознавания объектов, в данном случае — выражений лица.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C74D3C1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MFCC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C8A2C9C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Мел-частотные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кепстральные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 коэффициенты, используемые для анализа аудиопотока (голосовых характеристик).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2619C85E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Нейронная сеть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53D5C9D3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Математическая модель, применяемая для классификации эмоций на основе видео- и аудиоданных.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594336B2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Сеанс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3F3DAE18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Единичный процесс мониторинга эмоций кандидата или сотрудника в заданное время.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</w:tbl>
    <w:p w14:paraId="51526D08">
      <w:pPr>
        <w:pBdr/>
        <w:spacing w:after="480" w:line="240" w:lineRule="auto"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термины отражают ключевые аспекты работы системы и используются в документации и коде.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921DC1">
      <w:pPr>
        <w:pStyle w:val="140"/>
        <w:numPr>
          <w:ilvl w:val="1"/>
          <w:numId w:val="2"/>
        </w:numPr>
        <w:pBdr/>
        <w:spacing w:after="200" w:before="0"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20" w:name="_Toc195530215"/>
      <w:r>
        <w:rPr>
          <w:rFonts w:ascii="Times new roman" w:hAnsi="Times new roman" w:eastAsia="Times new roman" w:cs="Times new roman"/>
          <w:sz w:val="28"/>
          <w:szCs w:val="28"/>
        </w:rPr>
        <w:t xml:space="preserve">Математическое обеспечение</w:t>
      </w:r>
      <w:bookmarkEnd w:id="2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3489A3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реализации системы применяются математические методы и алгоритмы, обеспечивающие обработку данных и классификацию эмоций.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B936E0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видеопотока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A8DCD8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анализа видеопотока используется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сверточная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Softmax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083BB0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P</m:t>
          </m:r>
          <m:d>
            <m:dPr>
              <m:ctrlPr>
                <w:rPr>
                  <w:rFonts w:hint="default" w:ascii="Cambria Math" w:hAnsi="Cambria Math" w:eastAsia="Cambria Math" w:cs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y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i</m:t>
                  </m:r>
                </m:sub>
              </m:sSub>
            </m:e>
          </m:d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e</m:t>
                  </m:r>
                </m:e>
                <m:sup>
                  <m:sSub>
                    <m:sSub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z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grow m:val="off"/>
                  <m:limLoc m:val="undOvr"/>
                  <m:ctrlPr>
                    <w:rPr>
                      <w:rFonts w:hint="default" w:ascii="Cambria Math" w:hAnsi="Cambria Math" w:eastAsia="Cambria Math" w:cs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j</m:t>
                  </m:r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=1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lang w:val="en-US"/>
                    </w:rPr>
                    <m:rPr/>
                    <m:t>n</m:t>
                  </m:r>
                </m:sup>
                <m:e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  <w:lang w:val="en-US"/>
                        </w:rPr>
                        <m:rPr/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hint="default" w:ascii="Cambria Math" w:hAnsi="Cambria Math" w:eastAsia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  <w:lang w:val="en-US"/>
                            </w:rPr>
                            <m:rPr/>
                            <m:t>z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  <w:lang w:val="en-US"/>
                            </w:rPr>
                            <m:rPr/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где </w:t>
      </w:r>
      <m:oMath>
        <m:r>
          <w:rPr>
            <w:rFonts w:hint="default" w:ascii="Cambria Math" w:hAnsi="Cambria Math" w:eastAsia="Cambria Math" w:cs="Cambria Math"/>
            <w:sz w:val="28"/>
            <w:szCs w:val="28"/>
          </w:rPr>
          <m:rPr/>
          <m:t>P</m:t>
        </m:r>
        <m:d>
          <m:d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lang w:val="en-US"/>
                  </w:rPr>
                  <m:rPr/>
                  <m:t>i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— вероятность принадлежности объекта к классу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i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z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lang w:val="en-US"/>
              </w:rPr>
              <m:rPr/>
              <m:t>j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— выходной сигнал нейрона для класса </w:t>
      </w:r>
      <m:oMath>
        <m:r>
          <w:rPr>
            <w:rFonts w:hint="default" w:ascii="Cambria Math" w:hAnsi="Cambria Math" w:eastAsia="Cambria Math" w:cs="Cambria Math"/>
            <w:sz w:val="28"/>
            <w:szCs w:val="28"/>
            <w:lang w:val="en-US"/>
          </w:rPr>
          <m:rPr/>
          <m:t>i</m:t>
        </m:r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, n — количество классов (например, «шлем есть», «шлема нет»).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04CD85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оценки качества модели используется функция потерь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Cross-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Entropy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Loss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C61BEB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</w:rPr>
            <m:rPr/>
            <m:t>L=-</m:t>
          </m:r>
          <m:f>
            <m:fPr>
              <m:ctrlPr>
                <w:rPr>
                  <w:rFonts w:hint="default" w:ascii="Cambria Math" w:hAnsi="Cambria Math" w:eastAsia="Cambria Math" w:cs="Cambria Math" w:cstheme="majorHAnsi"/>
                  <w:sz w:val="28"/>
                  <w:szCs w:val="28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N</m:t>
              </m:r>
            </m:den>
          </m:f>
          <m:nary>
            <m:naryPr>
              <m:chr m:val="∑"/>
              <m:grow m:val="off"/>
              <m:ctrlPr>
                <w:rPr>
                  <w:rFonts w:hint="default" w:ascii="Cambria Math" w:hAnsi="Cambria Math" w:eastAsia="Cambria Math" w:cs="Cambria Math" w:cstheme="majorHAnsi"/>
                  <w:sz w:val="28"/>
                  <w:szCs w:val="28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i=1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Cambria Math" w:cs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eastAsia="Cambria Math" w:cs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y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hint="default" w:ascii="Cambria Math" w:hAnsi="Cambria Math" w:eastAsia="Cambria Math" w:cs="Cambria Math" w:cstheme="maj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hint="default" w:ascii="Cambria Math" w:hAnsi="Cambria Math" w:eastAsia="Cambria Math" w:cs="Cambria Math" w:cstheme="majorHAnsi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Cambria Math" w:cs="Cambria Math" w:cstheme="maj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 w:val="28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 w:val="28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</w:rPr>
                    <m:rPr/>
                    <m:t>+</m:t>
                  </m:r>
                  <m:d>
                    <m:dPr>
                      <m:ctrlPr>
                        <w:rPr>
                          <w:rFonts w:hint="default" w:ascii="Cambria Math" w:hAnsi="Cambria Math" w:eastAsia="Cambria Math" w:cs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/>
                        <m:t>1-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ambria Math" w:cs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y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hint="default" w:ascii="Cambria Math" w:hAnsi="Cambria Math" w:eastAsia="Cambria Math" w:cs="Cambria Math" w:cstheme="majorHAnsi"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hint="default" w:ascii="Cambria Math" w:hAnsi="Cambria Math" w:eastAsia="Cambria Math" w:cs="Cambria Math"/>
                          <w:sz w:val="28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sz w:val="28"/>
                              <w:szCs w:val="28"/>
                            </w:rPr>
                            <m:rPr/>
                            <m:t>1-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 w:eastAsia="Cambria Math" w:cs="Cambria Math" w:cstheme="majorHAnsi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eastAsia="Cambria Math" w:cs="Cambria Math" w:cstheme="majorHAnsi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 w:val="28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 w:val="28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60A01F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 — количество примеров в обучающей выборке,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hint="default" w:ascii="Cambria Math" w:hAnsi="Cambria Math" w:eastAsia="Cambria Math" w:cs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y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i</m:t>
            </m:r>
          </m:sub>
        </m:sSub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 — истинная метка класса,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hint="default" w:ascii="Cambria Math" w:hAnsi="Cambria Math" w:eastAsia="Cambria Math" w:cs="Cambria Math" w:cstheme="majorHAnsi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eastAsia="Cambria Math" w:cs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y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</w:rPr>
                  <m:rPr/>
                  <m:t>i</m:t>
                </m:r>
              </m:sub>
            </m:sSub>
          </m:e>
        </m:acc>
      </m:oMath>
      <w:r>
        <w:rPr>
          <w:rFonts w:ascii="Times new roman" w:hAnsi="Times new roman" w:eastAsia="Times new roman" w:cs="Times new roman"/>
          <w:sz w:val="28"/>
          <w:szCs w:val="28"/>
        </w:rPr>
        <w:t xml:space="preserve">— предсказанная вероятность.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FF0484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аудиопотока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0AB49F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анализа аудиопотока применяются мел-частотные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кепстральные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Softmax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Точность модели также оценивается через Cross-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Entropy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Loss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4E7DD9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Метрики качества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C4BDA9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контроля обучения используются метрики: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A3B67E">
      <w:pPr>
        <w:pStyle w:val="1_47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Accuracy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доля правильно классифицированных эмоций,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2B3720">
      <w:pPr>
        <w:pStyle w:val="1_47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Loss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значение функции потерь, отражающее расхождение между предсказаниями и истинными значениями.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2AD8B5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методы обеспечивают точную классификацию эмоций и их интеграцию для мультимодального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A834E7">
      <w:pPr>
        <w:pStyle w:val="140"/>
        <w:numPr>
          <w:ilvl w:val="1"/>
          <w:numId w:val="2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1" w:name="_Toc195530216"/>
      <w:r>
        <w:rPr>
          <w:rFonts w:ascii="Times new roman" w:hAnsi="Times new roman" w:eastAsia="Times new roman" w:cs="Times new roman"/>
          <w:sz w:val="28"/>
          <w:szCs w:val="28"/>
        </w:rPr>
        <w:t xml:space="preserve">Алгоритмическое обеспечение</w:t>
      </w:r>
      <w:bookmarkEnd w:id="2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771EBF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Алгоритмы системы разделены на этапы обработки данных и анализа эмоций: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71FDE5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Алгоритм сбора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3BB6D8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Захват видеопотока с камеры (разрешение 1080p) и аудиопотока с микрофона.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4339C8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Предварительная обработка: нормализация яркости видео, фильтрация шума в аудио.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BB4EF3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Сохранение данных в базе данных (видео, аудио, метаданные сеанса).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8994B0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Алгоритм обработки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B001A3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Извлечение признаков из видео: определение ключевых точек лица (например, уголки рта, брови) с помощью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OpenCV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26EC5A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Извлечение MFCC из аудио с использованием библиотеки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Librosa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E6C990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Подготовка данных для передачи в нейронную сеть (нормализация, преобразование в тензоры).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058896A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Алгоритм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транскрибации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и анализа тональности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8ACBE9D"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Преобразование аудиопотока в текст с помощью ASR (Automatic Speech Recognition) модели.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E3057A1"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Разделение текста на сегменты по репликам или временным интервалам.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6D7C3C"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Выявление эмоциональной окраски каждой реплики с использованием NLP-моделей для анализа тональности.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954379"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535"/>
        </w:tabs>
        <w:spacing w:after="0" w:before="0" w:line="276" w:lineRule="auto"/>
        <w:ind w:right="0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метрик эмоциональной тональности (например, позитивная / нейтральная / негативная, или по 5-балльной шкале).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530B19">
      <w:pPr>
        <w:pStyle w:val="66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Сохранение транскрибированного текста и эмоциональных метрик в базе данных для дальнейшего анализа.</w:t>
      </w:r>
      <w:r/>
      <w:r>
        <w:rPr>
          <w:rFonts w:ascii="Times new roman" w:hAnsi="Times new roman" w:cs="Times new roman"/>
          <w:sz w:val="28"/>
          <w:szCs w:val="28"/>
        </w:rPr>
      </w:r>
    </w:p>
    <w:p w14:paraId="5C9FDAEA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Алгоритм анализа эмоций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3FF196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видеопотока с помощью CNN для классификации выражений лица.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6A7EC9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аудиопотока с помощью RNN для классификации голосовых характеристик.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12F48A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Интеграция результатов: объединение вероятностей эмоций с использованием взвешенного среднего (например, 60% видео + 40% аудио).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C2FA65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Сохранение результатов (эмоция, вероятность) в базе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052A55B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Алгоритм формирования отчёта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084227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 данных о сеансе (время, эмоции, вероятности).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B976F9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Генерация статистики (например, процентное распределение эмоций).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FFC358">
      <w:pPr>
        <w:numPr>
          <w:ilvl w:val="1"/>
          <w:numId w:val="4"/>
        </w:numPr>
        <w:pBdr/>
        <w:spacing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Экспорт отчёта в формате CSV или PDF.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E70E35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Эти алгоритмы обеспечивают последовательную обработку данных от ввода до вывода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F584A1">
      <w:pPr>
        <w:pStyle w:val="140"/>
        <w:numPr>
          <w:ilvl w:val="1"/>
          <w:numId w:val="2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4" w:name="_Toc195530219"/>
      <w:r>
        <w:rPr>
          <w:rFonts w:ascii="Times new roman" w:hAnsi="Times new roman" w:eastAsia="Times new roman" w:cs="Times new roman"/>
          <w:sz w:val="28"/>
          <w:szCs w:val="28"/>
        </w:rPr>
        <w:t xml:space="preserve">Правовое обеспечение</w:t>
      </w:r>
      <w:bookmarkEnd w:id="2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15DBE5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Законодательство в сфере персональных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782249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Федеральный закон №152-ФЗ "О персональных данных"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который устанавливает правила сбора, обработки, хранения и использования данных, позволяющих идентифицировать личность.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C25421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соответствия требованиям закона: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345903">
      <w:pPr>
        <w:pStyle w:val="1_4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Согласие пользователя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Перед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205B25">
      <w:pPr>
        <w:pStyle w:val="1_4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Меры безопасности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B6B8A3">
      <w:pPr>
        <w:pStyle w:val="1_47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Прозрачность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Пользователям предоставляется информация о целях сбора данных (анализ эмоций), сроках хранения (например, 1 год) и способах удаления.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75E4C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Авторские права и лицензии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906740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системе используются открытые датасеты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предобученные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модели: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6D098F">
      <w:pPr>
        <w:pStyle w:val="1_4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FER2013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датасет изображений лиц для обучения CNN, распространяется под лицензией Creative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Commons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(CC BY-SA 4.0).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A90926">
      <w:pPr>
        <w:pStyle w:val="1_4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LibriSpeech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датасет аудиозаписей для анализа голоса, доступен под лицензией CC BY 4.0.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64938D">
      <w:pPr>
        <w:pStyle w:val="1_47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Предобученные</w:t>
      </w:r>
      <w:r>
        <w:rPr>
          <w:rStyle w:val="173"/>
          <w:rFonts w:ascii="Times new roman" w:hAnsi="Times new roman" w:eastAsia="Times new roman" w:cs="Times new roman"/>
          <w:sz w:val="28"/>
          <w:szCs w:val="28"/>
        </w:rPr>
        <w:t xml:space="preserve"> модели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модели из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TensorFlow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PyTorch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(например, VGG-Face), распространяемые под Apache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License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2.0.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4A66D7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сторонние библиотеки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OpenCV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Librosa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263D0C">
      <w:pPr>
        <w:pStyle w:val="140"/>
        <w:numPr>
          <w:ilvl w:val="1"/>
          <w:numId w:val="2"/>
        </w:numPr>
        <w:pBdr/>
        <w:spacing w:after="200" w:before="0"/>
        <w:ind w:firstLine="709" w:left="0"/>
        <w:contextualSpacing w:val="tru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6" w:name="_Toc195530221"/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Информационное обеспечение</w:t>
      </w:r>
      <w:bookmarkEnd w:id="2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4452477">
      <w:pPr>
        <w:pStyle w:val="141"/>
        <w:numPr>
          <w:ilvl w:val="2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Метаданные и форматы хранения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4316F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обеспечения целостности и корректного анализа данных система использует стандартизированные форматы и структурированные метаданные: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3377B88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Форматы мультимедиа: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B0D1816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Видео — MP4, H.264, 1080p, 30 fps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F96B70F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Аудио — WAV, 44.1 кГц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212E78D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Метаданные видеопотока и аудиопотока: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BBFA4EC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идентификатор сессии;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71C8F4C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дата и время записи;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A8D9DD0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длительность потока;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DC292E0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технические характеристики (разрешение, FPS, частота дискретизации).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CE33677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Хранение результатов анализа: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FCDD89D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эмоции и вероятности — числовые значения, привязанные к временным отметкам;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440EBA8E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транскрибированный текст — в формате UTF-8;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32F22912">
      <w:pPr>
        <w:pStyle w:val="668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тональность речи — категория (позитивная / нейтральная / негативная) или числовая шкала.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C3C1497">
      <w:pPr>
        <w:pStyle w:val="141"/>
        <w:numPr>
          <w:ilvl w:val="2"/>
          <w:numId w:val="2"/>
        </w:numPr>
        <w:pBdr/>
        <w:spacing w:after="200" w:before="0"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bookmarkStart w:id="27" w:name="_Toc195530222"/>
      <w:r>
        <w:rPr>
          <w:rFonts w:ascii="Times new roman" w:hAnsi="Times new roman" w:eastAsia="Times new roman" w:cs="Times new roman"/>
          <w:sz w:val="28"/>
          <w:szCs w:val="28"/>
        </w:rPr>
        <w:t xml:space="preserve">. ER-диаграмма базы данных</w:t>
      </w:r>
      <w:bookmarkEnd w:id="27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463ADC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57C629">
      <w:pPr>
        <w:pStyle w:val="1_4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720"/>
                <wp:effectExtent l="0" t="0" r="3175" b="0"/>
                <wp:docPr id="1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456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017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83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08C741">
      <w:pPr>
        <w:pStyle w:val="1_47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ER-диаграмма базы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1F28B4">
      <w:pPr>
        <w:pStyle w:val="1_47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сущности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6C398E">
      <w:pPr>
        <w:pStyle w:val="1_47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HR-менеджер: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8CDF03">
      <w:pPr>
        <w:pStyle w:val="1_47"/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Описание сущности "HR-менеджер"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36AB35D6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037F6E4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9C94C84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8212EA3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81B7D86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8831B34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Уникальный идентификатор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5E51563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260B0D4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50946B3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Полное имя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461940A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6C70DAF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0BECF27">
            <w:pPr>
              <w:pStyle w:val="1_47"/>
              <w:pBdr/>
              <w:spacing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Электронная почта для уведомлений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5392088D">
      <w:pPr>
        <w:pStyle w:val="668"/>
        <w:numPr>
          <w:ilvl w:val="0"/>
          <w:numId w:val="14"/>
        </w:numPr>
        <w:pBdr/>
        <w:spacing w:after="0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Сеанс: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252322">
      <w:pPr>
        <w:pBdr/>
        <w:spacing w:after="0" w:line="240" w:lineRule="auto"/>
        <w:ind/>
        <w:contextualSpacing w:val="tru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Описание сущности "Сеанс"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27D5F749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BEE8621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BC67488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55FB415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2681F2C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BCEA950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Уникальный идентификатор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AC041EA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25F9491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кандидата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366FBBB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Ссылка на кандидата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6BFD66C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536F392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3F90D25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Ссылка на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C7BC406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F210807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и 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A26BCE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Временная метка начала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4ADD976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9B3471D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Видео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BDE0735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Путь к видеофайлу или данные в формате BLOB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17C56F8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D5387BF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Аудио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4B55BEE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Путь к аудиофайлу или данные в формате BLOB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22F3EAF1">
      <w:pPr>
        <w:pStyle w:val="668"/>
        <w:numPr>
          <w:ilvl w:val="0"/>
          <w:numId w:val="16"/>
        </w:numPr>
        <w:pBdr/>
        <w:spacing w:after="0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Кандидат: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7EEBEE">
      <w:pPr>
        <w:pBdr/>
        <w:spacing w:after="0"/>
        <w:ind/>
        <w:contextualSpacing w:val="true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Описание сущности "Кандидат"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4EC9A095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EF81A2B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A96C51F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6096FD1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586D2F0E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кандидата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0DC3763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Уникальный идентификатор кандидата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2B3548C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FBABD5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ФИО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23CFD7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Полное имя кандидата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7D5E5E6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8DC5D80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FD47F44">
            <w:pPr>
              <w:pBdr/>
              <w:spacing w:after="480"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Занимаемая или желаемая должность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2607FA59">
      <w:pPr>
        <w:pBdr/>
        <w:spacing w:after="0" w:line="240" w:lineRule="auto"/>
        <w:ind/>
        <w:contextualSpacing w:val="true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Эмоции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CA2592">
      <w:pPr>
        <w:numPr>
          <w:ilvl w:val="0"/>
          <w:numId w:val="15"/>
        </w:numPr>
        <w:pBdr/>
        <w:spacing w:after="0" w:line="240" w:lineRule="auto"/>
        <w:ind w:firstLine="709" w:left="0"/>
        <w:contextualSpacing w:val="tru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Описание сущности "Эмоции"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017E014D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2174780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557AA01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0AB7E781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4BAE492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эмоции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2F96CF3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Уникальный идентификатор эмоции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0A020BD6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5512E1A9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473903D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Ссылка на сеанс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0CD341FD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BC9C61C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Эмоция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1645EE4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Тип эмоции (радость, грусть и т.д.)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37C12346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50CAF65A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Вероятность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D33BFAA">
            <w:pPr>
              <w:pStyle w:val="1_47"/>
              <w:pBdr/>
              <w:spacing/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Вероятность эмоции (0–1)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CFF6D12">
      <w:pPr>
        <w:pStyle w:val="668"/>
        <w:numPr>
          <w:ilvl w:val="0"/>
          <w:numId w:val="15"/>
        </w:numPr>
        <w:pBdr/>
        <w:spacing w:after="0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Отчёт: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8E1D20">
      <w:pPr>
        <w:pBdr/>
        <w:spacing w:after="0"/>
        <w:ind/>
        <w:contextualSpacing w:val="true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Описание сущности "Отчёт"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06F17B38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AD8DEB3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CCFFD69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B4F5FFA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67E67CC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ID отчёта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370482E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Уникальный идентификатор отчёта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28F8219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F16BCEC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ID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8BE6EE5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Ссылка на сеанс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4342F82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7140BE1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ID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47636D6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Ссылка на HR-менеджера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31C1CCA7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38357B8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Метрики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043F639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Статистика эмоций (например, % распределения)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  <w:tr>
        <w:trPr>
          <w:trHeight w:val="472"/>
        </w:trPr>
        <w:tc>
          <w:tcPr>
            <w:tcBorders/>
            <w:tcW w:w="704" w:type="dxa"/>
            <w:textDirection w:val="lrTb"/>
            <w:noWrap w:val="false"/>
          </w:tcPr>
          <w:p w14:paraId="257C966E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87B1F15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Сводка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6F00255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  <w:t xml:space="preserve">Итоговое описание состояния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bidi="ru-RU"/>
              </w:rPr>
            </w:r>
          </w:p>
        </w:tc>
      </w:tr>
    </w:tbl>
    <w:p w14:paraId="18A39EF4">
      <w:pPr>
        <w:pStyle w:val="668"/>
        <w:numPr>
          <w:ilvl w:val="0"/>
          <w:numId w:val="1"/>
        </w:numPr>
        <w:pBdr/>
        <w:spacing w:after="0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Признаки: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55E578">
      <w:pPr>
        <w:pBdr/>
        <w:spacing w:after="0"/>
        <w:ind/>
        <w:contextualSpacing w:val="true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. Описание сущности "Признаки"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BEA6B02">
      <w:pPr>
        <w:pBdr/>
        <w:spacing w:after="0" w:line="240" w:lineRule="auto"/>
        <w:ind/>
        <w:contextualSpacing w:val="true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tbl>
      <w:tblPr>
        <w:tblStyle w:val="12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2EA4C132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7D61E7F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EB5D432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591CBA9F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D9D3386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признака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0293334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Уникальный идентификатор признака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082CDE9E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9DBDA20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ID сеанса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923EF23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Ссылка на сеанс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11C9AD4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8963EF6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Признаки лиц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F54E0F7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Координаты ключевых точек лица (JSON или массив)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04DEC6E7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E8874DD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MFCC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9AE338A">
            <w:pPr>
              <w:pBdr/>
              <w:spacing/>
              <w:ind w:firstLine="0"/>
              <w:contextualSpacing w:val="tru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Мел-частотные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кепстральные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коэффициенты аудио (массив)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A30A023">
      <w:pPr>
        <w:pBdr/>
        <w:spacing/>
        <w:ind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Связи: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6EFE32A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HR-менеджер → Сеанс: связь "один-ко-многим" (1:M).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550A993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Кандидат → Сеанс: связь "один-ко-многим" (1:M).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A417813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Сеанс → Эмоции: связь "один-ко-многим" (1:M).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AE50B2B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Сеанс → Признаки: связь "один-ко-многим" (1:M).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DB0E25A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Сеанс → Отчёт: связь "один-к-одному" (1:1).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E9E9593">
      <w:pPr>
        <w:numPr>
          <w:ilvl w:val="0"/>
          <w:numId w:val="18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HR-менеджер → Отчёт: связь "один-ко-многим" (1:M).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455ECEE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66C9F6">
      <w:pPr>
        <w:pStyle w:val="141"/>
        <w:numPr>
          <w:ilvl w:val="2"/>
          <w:numId w:val="2"/>
        </w:numPr>
        <w:pBdr/>
        <w:spacing w:after="200" w:before="0"/>
        <w:ind w:firstLine="709" w:left="0"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Start w:id="28" w:name="_Toc195530223"/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базы данных</w:t>
      </w:r>
      <w:bookmarkEnd w:id="2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32E146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Логическая модель представлена на рисунке ниже (рис. 6).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16ECF4BD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6845"/>
                <wp:effectExtent l="0" t="0" r="3175" b="8255"/>
                <wp:docPr id="2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3734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696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12.3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 w14:paraId="46A8A0D3">
      <w:pPr>
        <w:pBdr/>
        <w:spacing/>
        <w:ind/>
        <w:contextualSpacing w:val="tru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Рисунок 6. Логическая модель базы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B150D5">
      <w:pPr>
        <w:pBdr/>
        <w:spacing/>
        <w:ind/>
        <w:contextualSpacing w:val="tru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таблиц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0AF3FE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9967200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BE1A564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full_name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A989311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email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A3B2356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Candidate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2395885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id_candidate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112A852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full_name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B4AB5F0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position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6C3D239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0E1ED7A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0FCC7AD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id_candidate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353C1E6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699914A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date_time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E14E6B7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video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AE39664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audio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D5604D3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Emotions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6DCB5C2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id_emotion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4DFC0DE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1BEDC87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emotion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F0E75B4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probability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BE7FD2A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Features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1DCD46A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id_feature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6EF05A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068E4ED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facial_features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8A7F73F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mfcc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D6D952B">
      <w:pPr>
        <w:numPr>
          <w:ilvl w:val="0"/>
          <w:numId w:val="19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Report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DC04170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id_report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(PK)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40428A9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4C8F078A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id_hr_manager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(FK)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B5E08E7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metrics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53D3265">
      <w:pPr>
        <w:numPr>
          <w:ilvl w:val="1"/>
          <w:numId w:val="19"/>
        </w:numPr>
        <w:pBdr/>
        <w:spacing/>
        <w:ind w:firstLine="357" w:left="1077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summary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0A0823D">
      <w:pPr>
        <w:pBdr/>
        <w:spacing/>
        <w:ind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Связи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6B0AD01D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→ Session: 1:M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1F87EB28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Candidate → Session: 1:M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id_candidate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40C08F68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Session → Emotions: 1:M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47199430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Session → Features: 1:M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5445D2A7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Session → Report: 1:1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id_session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r>
    </w:p>
    <w:p w14:paraId="59F16B95">
      <w:pPr>
        <w:numPr>
          <w:ilvl w:val="0"/>
          <w:numId w:val="20"/>
        </w:numPr>
        <w:pBdr/>
        <w:spacing/>
        <w:ind w:firstLine="709" w:left="0"/>
        <w:contextualSpacing w:val="tru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→ Report: 1:M (FK: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id_hr_manager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B050303050204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14CE00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46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2">
    <w:nsid w:val="5D6F48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66CC7C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EEE3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67E45B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6CA96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1EC4F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AE32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0EC709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65BC17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1F1A6D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CA67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0346E2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1B242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8201E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92614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65667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7E09775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BB419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21">
    <w:nsid w:val="1EEE3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67E45B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6CA96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11EC4F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1AE32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0EC709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592F9B9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29">
    <w:nsid w:val="3CA67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63ACD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0D723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0D723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47" w:customStyle="1">
    <w:name w:val="Обычный2"/>
    <w:basedOn w:val="86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360" w:lineRule="auto"/>
      <w:ind w:right="0" w:firstLine="709" w:left="0"/>
      <w:contextualSpacing w:val="tru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2026-02-18T11:04:42Z</dcterms:modified>
</cp:coreProperties>
</file>