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C4B" w:rsidRDefault="005B2BBF">
      <w:pPr>
        <w:pStyle w:val="Titre1"/>
      </w:pPr>
      <w:r>
        <w:t>EKO MENGUE Arsène Silvère</w:t>
      </w:r>
    </w:p>
    <w:p w:rsidR="00233C4B" w:rsidRDefault="005B2BBF">
      <w:pPr>
        <w:pBdr>
          <w:bottom w:val="single" w:sz="6" w:space="6" w:color="1F3864"/>
        </w:pBdr>
        <w:spacing w:after="360"/>
        <w:jc w:val="center"/>
      </w:pPr>
      <w:r>
        <w:rPr>
          <w:i/>
          <w:iCs/>
          <w:color w:val="595959"/>
        </w:rPr>
        <w:t>Note biographique</w:t>
      </w:r>
    </w:p>
    <w:p w:rsidR="00233C4B" w:rsidRDefault="005B2BBF">
      <w:pPr>
        <w:jc w:val="both"/>
      </w:pPr>
      <w:r>
        <w:rPr>
          <w:b/>
          <w:bCs/>
        </w:rPr>
        <w:t>EKO MENGUE Arsène Silvère</w:t>
      </w:r>
      <w:r>
        <w:t xml:space="preserve"> est </w:t>
      </w:r>
      <w:r>
        <w:rPr>
          <w:b/>
          <w:bCs/>
        </w:rPr>
        <w:t>Docteur/</w:t>
      </w:r>
      <w:r w:rsidRPr="005B2BBF">
        <w:rPr>
          <w:b/>
          <w:bCs/>
        </w:rPr>
        <w:t>P</w:t>
      </w:r>
      <w:r>
        <w:rPr>
          <w:b/>
          <w:bCs/>
        </w:rPr>
        <w:t>h.D</w:t>
      </w:r>
      <w:r>
        <w:rPr>
          <w:b/>
          <w:bCs/>
        </w:rPr>
        <w:t xml:space="preserve"> en droit public</w:t>
      </w:r>
      <w:r>
        <w:t xml:space="preserve"> de l’Université de Yaoundé II (2020), auteur d’une thèse intitulée </w:t>
      </w:r>
      <w:r>
        <w:rPr>
          <w:i/>
          <w:iCs/>
        </w:rPr>
        <w:t>« L’État membre de la Communauté. Contribution à l’étude du droit national de l’intégration en Afrique francophone »</w:t>
      </w:r>
      <w:r>
        <w:t xml:space="preserve">. Il est également titulaire d’un </w:t>
      </w:r>
      <w:r>
        <w:rPr>
          <w:b/>
          <w:bCs/>
        </w:rPr>
        <w:t>Master II en droit public international</w:t>
      </w:r>
      <w:r>
        <w:rPr>
          <w:b/>
          <w:bCs/>
        </w:rPr>
        <w:t xml:space="preserve"> et communautaire</w:t>
      </w:r>
      <w:r>
        <w:t xml:space="preserve"> de la même université. Il poursuit actuellement</w:t>
      </w:r>
      <w:r>
        <w:t xml:space="preserve"> un Diplôme </w:t>
      </w:r>
      <w:proofErr w:type="spellStart"/>
      <w:r>
        <w:t>inter-universitaire</w:t>
      </w:r>
      <w:proofErr w:type="spellEnd"/>
      <w:r>
        <w:t xml:space="preserve"> de juriste OHADA à l’Université Sorbonne Paris Nord.</w:t>
      </w:r>
    </w:p>
    <w:p w:rsidR="00233C4B" w:rsidRDefault="005B2BBF">
      <w:pPr>
        <w:jc w:val="both"/>
      </w:pPr>
      <w:r>
        <w:t xml:space="preserve">Depuis janvier 2026, il est </w:t>
      </w:r>
      <w:r>
        <w:rPr>
          <w:b/>
          <w:bCs/>
        </w:rPr>
        <w:t xml:space="preserve">Consultant </w:t>
      </w:r>
      <w:r w:rsidRPr="005B2BBF">
        <w:rPr>
          <w:b/>
          <w:bCs/>
        </w:rPr>
        <w:t>Principal</w:t>
      </w:r>
      <w:r>
        <w:rPr>
          <w:b/>
          <w:bCs/>
        </w:rPr>
        <w:t xml:space="preserve"> et Associé Gérant</w:t>
      </w:r>
      <w:r>
        <w:t xml:space="preserve"> du cabinet </w:t>
      </w:r>
      <w:r>
        <w:rPr>
          <w:b/>
          <w:bCs/>
        </w:rPr>
        <w:t>LEX AND FINANCE STRATEGIC CONSULTING (LFS Consulting)</w:t>
      </w:r>
      <w:r>
        <w:t xml:space="preserve">, </w:t>
      </w:r>
      <w:r>
        <w:t xml:space="preserve">implanté entre Yaoundé et Douala, à l’intersection du droit public, du droit OHADA, du droit bancaire et financier et du climat de l’investissement en Afrique centrale. Il a auparavant exercé comme </w:t>
      </w:r>
      <w:r>
        <w:rPr>
          <w:b/>
          <w:bCs/>
        </w:rPr>
        <w:t>Responsable de la Fonction juridique du Réseau Yaoundé Nor</w:t>
      </w:r>
      <w:r>
        <w:rPr>
          <w:b/>
          <w:bCs/>
        </w:rPr>
        <w:t>d</w:t>
      </w:r>
      <w:r>
        <w:t xml:space="preserve"> à </w:t>
      </w:r>
      <w:r>
        <w:rPr>
          <w:i/>
          <w:iCs/>
        </w:rPr>
        <w:t>Afriland First Bank Cameroun</w:t>
      </w:r>
      <w:r>
        <w:t xml:space="preserve"> (2023-2026) et comme </w:t>
      </w:r>
      <w:r>
        <w:rPr>
          <w:b/>
          <w:bCs/>
        </w:rPr>
        <w:t>Responsable du contentieux administratif</w:t>
      </w:r>
      <w:r>
        <w:t xml:space="preserve"> au Cabinet d’avocats ESSOMBA TSOUNGUI (2018-2023). Il est par ailleurs </w:t>
      </w:r>
      <w:r>
        <w:rPr>
          <w:b/>
          <w:bCs/>
        </w:rPr>
        <w:t>Chargé de cours</w:t>
      </w:r>
      <w:r>
        <w:t xml:space="preserve"> à la Faculté des sciences juridiques et politiques de l’Université de Yaou</w:t>
      </w:r>
      <w:r>
        <w:t>ndé II-Soa.</w:t>
      </w:r>
    </w:p>
    <w:p w:rsidR="00233C4B" w:rsidRDefault="005B2BBF">
      <w:pPr>
        <w:jc w:val="both"/>
      </w:pPr>
      <w:r>
        <w:t>Ses travaux portent sur le constitutionnalisme africain, les droits communautaires (OHADA, CEMAC, UEMOA, CEDEAO), le droit bancaire et financier ainsi que le droit international public. Il a contribué</w:t>
      </w:r>
      <w:bookmarkStart w:id="0" w:name="_GoBack"/>
      <w:bookmarkEnd w:id="0"/>
      <w:r>
        <w:t xml:space="preserve"> et publié d</w:t>
      </w:r>
      <w:r>
        <w:t xml:space="preserve">ans plusieurs revues, dont la </w:t>
      </w:r>
      <w:r>
        <w:rPr>
          <w:i/>
          <w:iCs/>
        </w:rPr>
        <w:t>RADBB</w:t>
      </w:r>
      <w:r>
        <w:t xml:space="preserve">, le </w:t>
      </w:r>
      <w:r>
        <w:rPr>
          <w:i/>
          <w:iCs/>
        </w:rPr>
        <w:t>CYIL/ACDI</w:t>
      </w:r>
      <w:r>
        <w:t xml:space="preserve">, la </w:t>
      </w:r>
      <w:r>
        <w:rPr>
          <w:i/>
          <w:iCs/>
        </w:rPr>
        <w:t>RQDI</w:t>
      </w:r>
      <w:r>
        <w:t xml:space="preserve">, la </w:t>
      </w:r>
      <w:r>
        <w:rPr>
          <w:i/>
          <w:iCs/>
        </w:rPr>
        <w:t>RADES</w:t>
      </w:r>
      <w:r>
        <w:t xml:space="preserve">, </w:t>
      </w:r>
      <w:r>
        <w:rPr>
          <w:i/>
          <w:iCs/>
        </w:rPr>
        <w:t>L’Observateur des Nations Unies</w:t>
      </w:r>
      <w:r>
        <w:t xml:space="preserve"> et la </w:t>
      </w:r>
      <w:r>
        <w:rPr>
          <w:i/>
          <w:iCs/>
        </w:rPr>
        <w:t xml:space="preserve">Sorbonne Doctoral Law </w:t>
      </w:r>
      <w:proofErr w:type="spellStart"/>
      <w:r>
        <w:rPr>
          <w:i/>
          <w:iCs/>
        </w:rPr>
        <w:t>Review</w:t>
      </w:r>
      <w:proofErr w:type="spellEnd"/>
      <w:r>
        <w:t>.</w:t>
      </w:r>
    </w:p>
    <w:p w:rsidR="00233C4B" w:rsidRDefault="005B2BBF">
      <w:pPr>
        <w:jc w:val="both"/>
      </w:pPr>
      <w:r>
        <w:rPr>
          <w:b/>
          <w:bCs/>
        </w:rPr>
        <w:t>Membre fondateur</w:t>
      </w:r>
      <w:r>
        <w:t xml:space="preserve"> de la </w:t>
      </w:r>
      <w:r>
        <w:rPr>
          <w:b/>
          <w:bCs/>
        </w:rPr>
        <w:t>Société africaine de droit communautaire (SADC/ASCL)</w:t>
      </w:r>
      <w:r>
        <w:t>, il y assume actuellement les fonctions de</w:t>
      </w:r>
      <w:r>
        <w:t xml:space="preserve"> </w:t>
      </w:r>
      <w:r>
        <w:rPr>
          <w:b/>
          <w:bCs/>
        </w:rPr>
        <w:t>Trésorier du Bureau exécutif</w:t>
      </w:r>
      <w:r>
        <w:t>. Il est en outre membre de l’</w:t>
      </w:r>
      <w:r>
        <w:rPr>
          <w:b/>
          <w:bCs/>
        </w:rPr>
        <w:t>African Society of International Law (</w:t>
      </w:r>
      <w:proofErr w:type="spellStart"/>
      <w:r>
        <w:rPr>
          <w:b/>
          <w:bCs/>
        </w:rPr>
        <w:t>AfSIL</w:t>
      </w:r>
      <w:proofErr w:type="spellEnd"/>
      <w:r>
        <w:rPr>
          <w:b/>
          <w:bCs/>
        </w:rPr>
        <w:t>)</w:t>
      </w:r>
      <w:r>
        <w:t>.</w:t>
      </w:r>
    </w:p>
    <w:sectPr w:rsidR="00233C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D3C94"/>
    <w:multiLevelType w:val="hybridMultilevel"/>
    <w:tmpl w:val="6CF2FDDE"/>
    <w:lvl w:ilvl="0" w:tplc="DC401CF2">
      <w:start w:val="1"/>
      <w:numFmt w:val="bullet"/>
      <w:lvlText w:val="●"/>
      <w:lvlJc w:val="left"/>
      <w:pPr>
        <w:ind w:left="720" w:hanging="360"/>
      </w:pPr>
    </w:lvl>
    <w:lvl w:ilvl="1" w:tplc="AF4A4CA0">
      <w:start w:val="1"/>
      <w:numFmt w:val="bullet"/>
      <w:lvlText w:val="○"/>
      <w:lvlJc w:val="left"/>
      <w:pPr>
        <w:ind w:left="1440" w:hanging="360"/>
      </w:pPr>
    </w:lvl>
    <w:lvl w:ilvl="2" w:tplc="123A9566">
      <w:start w:val="1"/>
      <w:numFmt w:val="bullet"/>
      <w:lvlText w:val="■"/>
      <w:lvlJc w:val="left"/>
      <w:pPr>
        <w:ind w:left="2160" w:hanging="360"/>
      </w:pPr>
    </w:lvl>
    <w:lvl w:ilvl="3" w:tplc="F6D4AD54">
      <w:start w:val="1"/>
      <w:numFmt w:val="bullet"/>
      <w:lvlText w:val="●"/>
      <w:lvlJc w:val="left"/>
      <w:pPr>
        <w:ind w:left="2880" w:hanging="360"/>
      </w:pPr>
    </w:lvl>
    <w:lvl w:ilvl="4" w:tplc="1AB6429E">
      <w:start w:val="1"/>
      <w:numFmt w:val="bullet"/>
      <w:lvlText w:val="○"/>
      <w:lvlJc w:val="left"/>
      <w:pPr>
        <w:ind w:left="3600" w:hanging="360"/>
      </w:pPr>
    </w:lvl>
    <w:lvl w:ilvl="5" w:tplc="3D1E23C4">
      <w:start w:val="1"/>
      <w:numFmt w:val="bullet"/>
      <w:lvlText w:val="■"/>
      <w:lvlJc w:val="left"/>
      <w:pPr>
        <w:ind w:left="4320" w:hanging="360"/>
      </w:pPr>
    </w:lvl>
    <w:lvl w:ilvl="6" w:tplc="9FACF724">
      <w:start w:val="1"/>
      <w:numFmt w:val="bullet"/>
      <w:lvlText w:val="●"/>
      <w:lvlJc w:val="left"/>
      <w:pPr>
        <w:ind w:left="5040" w:hanging="360"/>
      </w:pPr>
    </w:lvl>
    <w:lvl w:ilvl="7" w:tplc="CA8E44BC">
      <w:start w:val="1"/>
      <w:numFmt w:val="bullet"/>
      <w:lvlText w:val="●"/>
      <w:lvlJc w:val="left"/>
      <w:pPr>
        <w:ind w:left="5760" w:hanging="360"/>
      </w:pPr>
    </w:lvl>
    <w:lvl w:ilvl="8" w:tplc="5C80F7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233C4B"/>
    <w:rsid w:val="00233C4B"/>
    <w:rsid w:val="005B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after="120"/>
      <w:jc w:val="center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after="120"/>
      <w:jc w:val="center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EKO MENGUE</cp:lastModifiedBy>
  <cp:revision>2</cp:revision>
  <dcterms:created xsi:type="dcterms:W3CDTF">2026-04-16T11:55:00Z</dcterms:created>
  <dcterms:modified xsi:type="dcterms:W3CDTF">2026-04-16T11:55:00Z</dcterms:modified>
</cp:coreProperties>
</file>