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B5F9" w14:textId="29C1722D" w:rsidR="001404A5" w:rsidRDefault="00282CC6">
      <w:pPr>
        <w:rPr>
          <w:lang w:val="en-US"/>
        </w:rPr>
      </w:pPr>
      <w:r>
        <w:rPr>
          <w:lang w:val="en-US"/>
        </w:rPr>
        <w:t>Task 2:</w:t>
      </w:r>
    </w:p>
    <w:p w14:paraId="5A2F033A" w14:textId="48565671" w:rsidR="00336B27" w:rsidRPr="00336B27" w:rsidRDefault="00282CC6" w:rsidP="00336B27">
      <w:pPr>
        <w:rPr>
          <w:lang w:val="en-US"/>
        </w:rPr>
      </w:pPr>
      <w:r>
        <w:rPr>
          <w:lang w:val="en-US"/>
        </w:rPr>
        <w:t xml:space="preserve">Part1: </w:t>
      </w:r>
      <w:r w:rsidRPr="00282CC6">
        <w:rPr>
          <w:lang w:val="en-US"/>
        </w:rPr>
        <w:drawing>
          <wp:inline distT="0" distB="0" distL="0" distR="0" wp14:anchorId="121D16BC" wp14:editId="0111DDD6">
            <wp:extent cx="5731510" cy="853440"/>
            <wp:effectExtent l="0" t="0" r="2540" b="3810"/>
            <wp:docPr id="4805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02534" name=""/>
                    <pic:cNvPicPr/>
                  </pic:nvPicPr>
                  <pic:blipFill>
                    <a:blip r:embed="rId5"/>
                    <a:stretch>
                      <a:fillRect/>
                    </a:stretch>
                  </pic:blipFill>
                  <pic:spPr>
                    <a:xfrm>
                      <a:off x="0" y="0"/>
                      <a:ext cx="5731510" cy="853440"/>
                    </a:xfrm>
                    <a:prstGeom prst="rect">
                      <a:avLst/>
                    </a:prstGeom>
                  </pic:spPr>
                </pic:pic>
              </a:graphicData>
            </a:graphic>
          </wp:inline>
        </w:drawing>
      </w:r>
      <w:r w:rsidR="00336B27" w:rsidRPr="00336B27">
        <w:br/>
      </w:r>
    </w:p>
    <w:p w14:paraId="6703A947" w14:textId="399B0C78" w:rsidR="00336B27" w:rsidRPr="00336B27" w:rsidRDefault="00336B27" w:rsidP="00336B27">
      <w:pPr>
        <w:rPr>
          <w:sz w:val="22"/>
          <w:szCs w:val="22"/>
        </w:rPr>
      </w:pPr>
      <w:r w:rsidRPr="00336B27">
        <w:rPr>
          <w:sz w:val="22"/>
          <w:szCs w:val="22"/>
        </w:rPr>
        <w:t xml:space="preserve">HTTP Methods: GET and HEAD requests were observed. </w:t>
      </w:r>
    </w:p>
    <w:p w14:paraId="1FB7464C" w14:textId="0C3A2D8A" w:rsidR="00336B27" w:rsidRPr="00336B27" w:rsidRDefault="00336B27" w:rsidP="00336B27">
      <w:pPr>
        <w:rPr>
          <w:sz w:val="22"/>
          <w:szCs w:val="22"/>
        </w:rPr>
      </w:pPr>
      <w:r w:rsidRPr="00336B27">
        <w:rPr>
          <w:sz w:val="22"/>
          <w:szCs w:val="22"/>
        </w:rPr>
        <w:t xml:space="preserve">Response Codes: 200 OK (indicating a successful request) and 301 Moved Permanently (indicating a redirection) were received. </w:t>
      </w:r>
    </w:p>
    <w:p w14:paraId="55108EAD" w14:textId="77777777" w:rsidR="00336B27" w:rsidRDefault="00336B27" w:rsidP="00336B27">
      <w:pPr>
        <w:rPr>
          <w:sz w:val="22"/>
          <w:szCs w:val="22"/>
          <w:rtl/>
        </w:rPr>
      </w:pPr>
      <w:r w:rsidRPr="00336B27">
        <w:rPr>
          <w:sz w:val="22"/>
          <w:szCs w:val="22"/>
        </w:rPr>
        <w:t xml:space="preserve">Traffic Example: The client (IP: 192.168.1.75) sent a GET request to the server (IP: 34.223.124.45), which successfully replied with HTTP/1.1 200 OK. </w:t>
      </w:r>
    </w:p>
    <w:p w14:paraId="0C87CDB7" w14:textId="77777777" w:rsidR="00336B27" w:rsidRDefault="00336B27" w:rsidP="00336B27">
      <w:pPr>
        <w:rPr>
          <w:sz w:val="22"/>
          <w:szCs w:val="22"/>
          <w:lang w:val="en-US"/>
        </w:rPr>
      </w:pPr>
    </w:p>
    <w:p w14:paraId="7A6E9421" w14:textId="6A75D8FC" w:rsidR="00336B27" w:rsidRDefault="00336B27" w:rsidP="00336B27">
      <w:pPr>
        <w:rPr>
          <w:sz w:val="22"/>
          <w:szCs w:val="22"/>
          <w:lang w:val="en-US"/>
        </w:rPr>
      </w:pPr>
      <w:r>
        <w:rPr>
          <w:sz w:val="22"/>
          <w:szCs w:val="22"/>
          <w:lang w:val="en-US"/>
        </w:rPr>
        <w:t>Part2:</w:t>
      </w:r>
    </w:p>
    <w:p w14:paraId="4018B9A3" w14:textId="558775F1" w:rsidR="00336B27" w:rsidRDefault="00417236" w:rsidP="00336B27">
      <w:pPr>
        <w:rPr>
          <w:sz w:val="22"/>
          <w:szCs w:val="22"/>
          <w:rtl/>
          <w:lang w:val="en-US"/>
        </w:rPr>
      </w:pPr>
      <w:r w:rsidRPr="00417236">
        <w:rPr>
          <w:sz w:val="22"/>
          <w:szCs w:val="22"/>
          <w:lang w:val="en-US"/>
        </w:rPr>
        <w:drawing>
          <wp:inline distT="0" distB="0" distL="0" distR="0" wp14:anchorId="48C47AF0" wp14:editId="593B7C24">
            <wp:extent cx="5731510" cy="993775"/>
            <wp:effectExtent l="0" t="0" r="2540" b="0"/>
            <wp:docPr id="107027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1822" name=""/>
                    <pic:cNvPicPr/>
                  </pic:nvPicPr>
                  <pic:blipFill>
                    <a:blip r:embed="rId6"/>
                    <a:stretch>
                      <a:fillRect/>
                    </a:stretch>
                  </pic:blipFill>
                  <pic:spPr>
                    <a:xfrm>
                      <a:off x="0" y="0"/>
                      <a:ext cx="5731510" cy="993775"/>
                    </a:xfrm>
                    <a:prstGeom prst="rect">
                      <a:avLst/>
                    </a:prstGeom>
                  </pic:spPr>
                </pic:pic>
              </a:graphicData>
            </a:graphic>
          </wp:inline>
        </w:drawing>
      </w:r>
    </w:p>
    <w:p w14:paraId="2F362FFE" w14:textId="26DFABB2" w:rsidR="00417236" w:rsidRPr="00417236" w:rsidRDefault="00417236" w:rsidP="00417236">
      <w:pPr>
        <w:rPr>
          <w:sz w:val="22"/>
          <w:szCs w:val="22"/>
        </w:rPr>
      </w:pPr>
      <w:r w:rsidRPr="00417236">
        <w:rPr>
          <w:b/>
          <w:bCs/>
          <w:sz w:val="22"/>
          <w:szCs w:val="22"/>
        </w:rPr>
        <w:t xml:space="preserve">SYN </w:t>
      </w:r>
      <w:r w:rsidRPr="00417236">
        <w:rPr>
          <w:sz w:val="22"/>
          <w:szCs w:val="22"/>
        </w:rPr>
        <w:t xml:space="preserve">(Packet 941): The client (192.168.1.75) initiates the connection to the server. The Sequence number is </w:t>
      </w:r>
      <w:proofErr w:type="spellStart"/>
      <w:r w:rsidRPr="00417236">
        <w:rPr>
          <w:sz w:val="22"/>
          <w:szCs w:val="22"/>
        </w:rPr>
        <w:t>Seq</w:t>
      </w:r>
      <w:proofErr w:type="spellEnd"/>
      <w:r w:rsidRPr="00417236">
        <w:rPr>
          <w:sz w:val="22"/>
          <w:szCs w:val="22"/>
        </w:rPr>
        <w:t xml:space="preserve">=0. (Note: Packet 983 is a TCP Retransmission of this initial SYN request). </w:t>
      </w:r>
    </w:p>
    <w:p w14:paraId="29E6E89F" w14:textId="018D1695" w:rsidR="00417236" w:rsidRPr="00417236" w:rsidRDefault="00417236" w:rsidP="00417236">
      <w:pPr>
        <w:rPr>
          <w:sz w:val="22"/>
          <w:szCs w:val="22"/>
        </w:rPr>
      </w:pPr>
      <w:r w:rsidRPr="00417236">
        <w:rPr>
          <w:b/>
          <w:bCs/>
          <w:sz w:val="22"/>
          <w:szCs w:val="22"/>
        </w:rPr>
        <w:t xml:space="preserve">SYN-ACK </w:t>
      </w:r>
      <w:r w:rsidRPr="00417236">
        <w:rPr>
          <w:sz w:val="22"/>
          <w:szCs w:val="22"/>
        </w:rPr>
        <w:t xml:space="preserve">(Packet 1031): The server (34.223.124.45) responds and acknowledges the client's request. The Sequence number is </w:t>
      </w:r>
      <w:proofErr w:type="spellStart"/>
      <w:r w:rsidRPr="00417236">
        <w:rPr>
          <w:sz w:val="22"/>
          <w:szCs w:val="22"/>
        </w:rPr>
        <w:t>Seq</w:t>
      </w:r>
      <w:proofErr w:type="spellEnd"/>
      <w:r w:rsidRPr="00417236">
        <w:rPr>
          <w:sz w:val="22"/>
          <w:szCs w:val="22"/>
        </w:rPr>
        <w:t xml:space="preserve">=0, and the Acknowledgment number is Ack=1. </w:t>
      </w:r>
    </w:p>
    <w:p w14:paraId="5D01716C" w14:textId="0D6B72C1" w:rsidR="00417236" w:rsidRPr="00417236" w:rsidRDefault="00417236" w:rsidP="00417236">
      <w:pPr>
        <w:rPr>
          <w:sz w:val="22"/>
          <w:szCs w:val="22"/>
        </w:rPr>
      </w:pPr>
      <w:r w:rsidRPr="00417236">
        <w:rPr>
          <w:b/>
          <w:bCs/>
          <w:sz w:val="22"/>
          <w:szCs w:val="22"/>
        </w:rPr>
        <w:t>ACK</w:t>
      </w:r>
      <w:r w:rsidRPr="00417236">
        <w:rPr>
          <w:sz w:val="22"/>
          <w:szCs w:val="22"/>
        </w:rPr>
        <w:t xml:space="preserve"> (Packet 1032): The client acknowledges the server's response, successfully establishing the connection. The Sequence number is </w:t>
      </w:r>
      <w:proofErr w:type="spellStart"/>
      <w:r w:rsidRPr="00417236">
        <w:rPr>
          <w:sz w:val="22"/>
          <w:szCs w:val="22"/>
        </w:rPr>
        <w:t>Seq</w:t>
      </w:r>
      <w:proofErr w:type="spellEnd"/>
      <w:r w:rsidRPr="00417236">
        <w:rPr>
          <w:sz w:val="22"/>
          <w:szCs w:val="22"/>
        </w:rPr>
        <w:t xml:space="preserve">=1, and the Acknowledgment number is Ack=1. </w:t>
      </w:r>
    </w:p>
    <w:p w14:paraId="1B692AFB" w14:textId="77777777" w:rsidR="00417236" w:rsidRDefault="00417236" w:rsidP="00417236">
      <w:pPr>
        <w:rPr>
          <w:sz w:val="22"/>
          <w:szCs w:val="22"/>
          <w:rtl/>
        </w:rPr>
      </w:pPr>
      <w:r w:rsidRPr="00417236">
        <w:rPr>
          <w:sz w:val="22"/>
          <w:szCs w:val="22"/>
        </w:rPr>
        <w:t xml:space="preserve">Data Transfer: Immediately after the handshake is completed, data transfer begins at Packet 1033 with an HTTP GET request. </w:t>
      </w:r>
    </w:p>
    <w:p w14:paraId="0DF7C8AF" w14:textId="77777777" w:rsidR="00417236" w:rsidRDefault="00417236" w:rsidP="00417236">
      <w:pPr>
        <w:rPr>
          <w:sz w:val="22"/>
          <w:szCs w:val="22"/>
          <w:rtl/>
        </w:rPr>
      </w:pPr>
    </w:p>
    <w:p w14:paraId="19857332" w14:textId="45C2626F" w:rsidR="00E0752D" w:rsidRPr="00E0752D" w:rsidRDefault="00417236" w:rsidP="00E0752D">
      <w:pPr>
        <w:rPr>
          <w:sz w:val="22"/>
          <w:szCs w:val="22"/>
          <w:lang w:val="en-US"/>
        </w:rPr>
      </w:pPr>
      <w:r w:rsidRPr="00417236">
        <w:rPr>
          <w:sz w:val="22"/>
          <w:szCs w:val="22"/>
          <w:lang w:val="en-US"/>
        </w:rPr>
        <w:drawing>
          <wp:inline distT="0" distB="0" distL="0" distR="0" wp14:anchorId="688BC923" wp14:editId="025CFC4F">
            <wp:extent cx="5731510" cy="292735"/>
            <wp:effectExtent l="0" t="0" r="2540" b="0"/>
            <wp:docPr id="3914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8796" name=""/>
                    <pic:cNvPicPr/>
                  </pic:nvPicPr>
                  <pic:blipFill>
                    <a:blip r:embed="rId7"/>
                    <a:stretch>
                      <a:fillRect/>
                    </a:stretch>
                  </pic:blipFill>
                  <pic:spPr>
                    <a:xfrm>
                      <a:off x="0" y="0"/>
                      <a:ext cx="5731510" cy="292735"/>
                    </a:xfrm>
                    <a:prstGeom prst="rect">
                      <a:avLst/>
                    </a:prstGeom>
                  </pic:spPr>
                </pic:pic>
              </a:graphicData>
            </a:graphic>
          </wp:inline>
        </w:drawing>
      </w:r>
    </w:p>
    <w:p w14:paraId="7861C867" w14:textId="77777777" w:rsidR="00E0752D" w:rsidRPr="00E0752D" w:rsidRDefault="00E0752D" w:rsidP="00E0752D">
      <w:pPr>
        <w:rPr>
          <w:sz w:val="22"/>
          <w:szCs w:val="22"/>
        </w:rPr>
      </w:pPr>
      <w:r w:rsidRPr="00E0752D">
        <w:rPr>
          <w:sz w:val="22"/>
          <w:szCs w:val="22"/>
        </w:rPr>
        <w:t xml:space="preserve">FIN-ACK (Packet 340): The client initiates the connection termination by sending a [FIN, ACK] packet to the server on port 80. The Sequence number is </w:t>
      </w:r>
      <w:proofErr w:type="spellStart"/>
      <w:r w:rsidRPr="00E0752D">
        <w:rPr>
          <w:sz w:val="22"/>
          <w:szCs w:val="22"/>
        </w:rPr>
        <w:t>Seq</w:t>
      </w:r>
      <w:proofErr w:type="spellEnd"/>
      <w:r w:rsidRPr="00E0752D">
        <w:rPr>
          <w:sz w:val="22"/>
          <w:szCs w:val="22"/>
        </w:rPr>
        <w:t xml:space="preserve">=1, and the Acknowledgment number is Ack=1. </w:t>
      </w:r>
    </w:p>
    <w:p w14:paraId="5344CB46" w14:textId="77777777" w:rsidR="00E0752D" w:rsidRPr="00E0752D" w:rsidRDefault="00E0752D" w:rsidP="00E0752D">
      <w:pPr>
        <w:rPr>
          <w:sz w:val="22"/>
          <w:szCs w:val="22"/>
        </w:rPr>
      </w:pPr>
      <w:r w:rsidRPr="00E0752D">
        <w:rPr>
          <w:sz w:val="22"/>
          <w:szCs w:val="22"/>
        </w:rPr>
        <w:t xml:space="preserve">FIN-ACK (Packet 377): The server responds with its own [FIN, ACK] packet, acknowledging the termination request and indicating it is also ready to close the connection. The Sequence number is </w:t>
      </w:r>
      <w:proofErr w:type="spellStart"/>
      <w:r w:rsidRPr="00E0752D">
        <w:rPr>
          <w:sz w:val="22"/>
          <w:szCs w:val="22"/>
        </w:rPr>
        <w:t>Seq</w:t>
      </w:r>
      <w:proofErr w:type="spellEnd"/>
      <w:r w:rsidRPr="00E0752D">
        <w:rPr>
          <w:sz w:val="22"/>
          <w:szCs w:val="22"/>
        </w:rPr>
        <w:t xml:space="preserve">=1, and the Acknowledgment number is Ack=2. </w:t>
      </w:r>
    </w:p>
    <w:p w14:paraId="27E28167" w14:textId="1B3B76AF" w:rsidR="00417236" w:rsidRDefault="00E0752D" w:rsidP="00E0752D">
      <w:pPr>
        <w:rPr>
          <w:sz w:val="22"/>
          <w:szCs w:val="22"/>
        </w:rPr>
      </w:pPr>
      <w:r w:rsidRPr="00E0752D">
        <w:rPr>
          <w:sz w:val="22"/>
          <w:szCs w:val="22"/>
        </w:rPr>
        <w:lastRenderedPageBreak/>
        <w:t xml:space="preserve">ACK (Packet 378): The client sends a final [ACK] packet to acknowledge the server's FIN, successfully closing the connection. The Sequence number is </w:t>
      </w:r>
      <w:proofErr w:type="spellStart"/>
      <w:r w:rsidRPr="00E0752D">
        <w:rPr>
          <w:sz w:val="22"/>
          <w:szCs w:val="22"/>
        </w:rPr>
        <w:t>Seq</w:t>
      </w:r>
      <w:proofErr w:type="spellEnd"/>
      <w:r w:rsidRPr="00E0752D">
        <w:rPr>
          <w:sz w:val="22"/>
          <w:szCs w:val="22"/>
        </w:rPr>
        <w:t>=2, and the Acknowledgment number is Ack=2.</w:t>
      </w:r>
    </w:p>
    <w:p w14:paraId="0B46D0C2" w14:textId="77777777" w:rsidR="00E0752D" w:rsidRDefault="00E0752D" w:rsidP="00E0752D">
      <w:pPr>
        <w:rPr>
          <w:sz w:val="22"/>
          <w:szCs w:val="22"/>
        </w:rPr>
      </w:pPr>
    </w:p>
    <w:p w14:paraId="7D32D56A" w14:textId="205E76F1" w:rsidR="00E0752D" w:rsidRDefault="006E2D38" w:rsidP="00E0752D">
      <w:pPr>
        <w:rPr>
          <w:sz w:val="22"/>
          <w:szCs w:val="22"/>
        </w:rPr>
      </w:pPr>
      <w:r>
        <w:rPr>
          <w:sz w:val="22"/>
          <w:szCs w:val="22"/>
        </w:rPr>
        <w:t>Part3:</w:t>
      </w:r>
    </w:p>
    <w:p w14:paraId="6E7F9589" w14:textId="4D35EDD7" w:rsidR="006E2D38" w:rsidRDefault="007155C9" w:rsidP="00E0752D">
      <w:pPr>
        <w:rPr>
          <w:sz w:val="22"/>
          <w:szCs w:val="22"/>
        </w:rPr>
      </w:pPr>
      <w:r w:rsidRPr="007155C9">
        <w:rPr>
          <w:sz w:val="22"/>
          <w:szCs w:val="22"/>
        </w:rPr>
        <w:drawing>
          <wp:inline distT="0" distB="0" distL="0" distR="0" wp14:anchorId="28F23C08" wp14:editId="28ED6F9B">
            <wp:extent cx="5731510" cy="1598930"/>
            <wp:effectExtent l="0" t="0" r="2540" b="1270"/>
            <wp:docPr id="22680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08072" name=""/>
                    <pic:cNvPicPr/>
                  </pic:nvPicPr>
                  <pic:blipFill>
                    <a:blip r:embed="rId8"/>
                    <a:stretch>
                      <a:fillRect/>
                    </a:stretch>
                  </pic:blipFill>
                  <pic:spPr>
                    <a:xfrm>
                      <a:off x="0" y="0"/>
                      <a:ext cx="5731510" cy="1598930"/>
                    </a:xfrm>
                    <a:prstGeom prst="rect">
                      <a:avLst/>
                    </a:prstGeom>
                  </pic:spPr>
                </pic:pic>
              </a:graphicData>
            </a:graphic>
          </wp:inline>
        </w:drawing>
      </w:r>
    </w:p>
    <w:p w14:paraId="0FCEC7AF" w14:textId="77777777" w:rsidR="00714C8A" w:rsidRPr="00714C8A" w:rsidRDefault="00714C8A" w:rsidP="00714C8A">
      <w:pPr>
        <w:rPr>
          <w:sz w:val="22"/>
          <w:szCs w:val="22"/>
        </w:rPr>
      </w:pPr>
      <w:r w:rsidRPr="00714C8A">
        <w:rPr>
          <w:sz w:val="22"/>
          <w:szCs w:val="22"/>
        </w:rPr>
        <w:t xml:space="preserve">Packet Details (e.g., Packet 14): The captured UDP traffic shows communication originating from Source Port 443 to Destination Port 50668, with a data payload length of 118 bytes. </w:t>
      </w:r>
    </w:p>
    <w:p w14:paraId="0BADA302" w14:textId="63FD8471" w:rsidR="00714C8A" w:rsidRDefault="00714C8A" w:rsidP="00714C8A">
      <w:pPr>
        <w:rPr>
          <w:sz w:val="22"/>
          <w:szCs w:val="22"/>
        </w:rPr>
      </w:pPr>
      <w:r w:rsidRPr="00714C8A">
        <w:rPr>
          <w:sz w:val="22"/>
          <w:szCs w:val="22"/>
        </w:rPr>
        <w:t>Header Comparison: Compared to TCP, the UDP header is significantly simpler and smaller. It only contains Source Port, Destination Port, Length, and Checksum. It completely lacks complex fields like sequence numbers, acknowledgment numbers, and connection state flags (like SYN or FIN) because it is a connectionless and lightweight protocol.</w:t>
      </w:r>
    </w:p>
    <w:p w14:paraId="4A52C025" w14:textId="77777777" w:rsidR="00714C8A" w:rsidRDefault="00714C8A" w:rsidP="00714C8A">
      <w:pPr>
        <w:rPr>
          <w:sz w:val="22"/>
          <w:szCs w:val="22"/>
        </w:rPr>
      </w:pPr>
    </w:p>
    <w:p w14:paraId="6A639AB6" w14:textId="77777777" w:rsidR="00714C8A" w:rsidRDefault="00714C8A" w:rsidP="00714C8A">
      <w:pPr>
        <w:rPr>
          <w:sz w:val="22"/>
          <w:szCs w:val="22"/>
        </w:rPr>
      </w:pPr>
      <w:r>
        <w:rPr>
          <w:sz w:val="22"/>
          <w:szCs w:val="22"/>
        </w:rPr>
        <w:t>Part4:</w:t>
      </w:r>
    </w:p>
    <w:p w14:paraId="4528C2FF" w14:textId="697C8E15" w:rsidR="00714C8A" w:rsidRPr="00714C8A" w:rsidRDefault="00714C8A" w:rsidP="00714C8A">
      <w:pPr>
        <w:rPr>
          <w:sz w:val="22"/>
          <w:szCs w:val="22"/>
        </w:rPr>
      </w:pPr>
      <w:r w:rsidRPr="00714C8A">
        <w:rPr>
          <w:sz w:val="22"/>
          <w:szCs w:val="22"/>
          <w:lang w:val="en-US"/>
        </w:rPr>
        <w:t>Task 1: Fill in the following table and provide reasons.</w:t>
      </w:r>
    </w:p>
    <w:p w14:paraId="47CD87C7" w14:textId="77777777" w:rsidR="00714C8A" w:rsidRPr="00714C8A" w:rsidRDefault="00714C8A" w:rsidP="00714C8A">
      <w:pPr>
        <w:rPr>
          <w:b/>
          <w:bCs/>
          <w:sz w:val="22"/>
          <w:szCs w:val="22"/>
          <w:lang w:val="en-US"/>
        </w:rPr>
      </w:pPr>
    </w:p>
    <w:tbl>
      <w:tblPr>
        <w:tblW w:w="10475" w:type="dxa"/>
        <w:tblInd w:w="-74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3529"/>
        <w:gridCol w:w="1843"/>
        <w:gridCol w:w="5103"/>
      </w:tblGrid>
      <w:tr w:rsidR="00714C8A" w:rsidRPr="00714C8A" w14:paraId="7F7B2903" w14:textId="77777777" w:rsidTr="00B04511">
        <w:trPr>
          <w:tblHeader/>
        </w:trPr>
        <w:tc>
          <w:tcPr>
            <w:tcW w:w="3529" w:type="dxa"/>
            <w:tcBorders>
              <w:top w:val="single" w:sz="12" w:space="0" w:color="auto"/>
              <w:left w:val="single" w:sz="12" w:space="0" w:color="auto"/>
              <w:bottom w:val="single" w:sz="8" w:space="0" w:color="auto"/>
              <w:right w:val="single" w:sz="8" w:space="0" w:color="auto"/>
            </w:tcBorders>
            <w:shd w:val="clear" w:color="auto" w:fill="83CAEB" w:themeFill="accent1" w:themeFillTint="66"/>
            <w:vAlign w:val="center"/>
          </w:tcPr>
          <w:p w14:paraId="32DEC0A6" w14:textId="77777777" w:rsidR="00714C8A" w:rsidRPr="00714C8A" w:rsidRDefault="00714C8A" w:rsidP="00B04511">
            <w:pPr>
              <w:jc w:val="center"/>
              <w:rPr>
                <w:b/>
                <w:bCs/>
                <w:sz w:val="22"/>
                <w:szCs w:val="22"/>
                <w:lang w:val="en-US"/>
              </w:rPr>
            </w:pPr>
          </w:p>
        </w:tc>
        <w:tc>
          <w:tcPr>
            <w:tcW w:w="1843" w:type="dxa"/>
            <w:tcBorders>
              <w:top w:val="single" w:sz="12" w:space="0" w:color="auto"/>
              <w:left w:val="single" w:sz="8" w:space="0" w:color="auto"/>
              <w:bottom w:val="single" w:sz="8" w:space="0" w:color="auto"/>
              <w:right w:val="single" w:sz="8" w:space="0" w:color="auto"/>
            </w:tcBorders>
            <w:shd w:val="clear" w:color="auto" w:fill="83CAEB" w:themeFill="accent1" w:themeFillTint="66"/>
            <w:vAlign w:val="center"/>
            <w:hideMark/>
          </w:tcPr>
          <w:p w14:paraId="2691749A" w14:textId="77777777" w:rsidR="00714C8A" w:rsidRPr="00714C8A" w:rsidRDefault="00714C8A" w:rsidP="00B04511">
            <w:pPr>
              <w:jc w:val="center"/>
              <w:rPr>
                <w:b/>
                <w:bCs/>
                <w:sz w:val="22"/>
                <w:szCs w:val="22"/>
                <w:lang w:val="en-US"/>
              </w:rPr>
            </w:pPr>
            <w:r w:rsidRPr="00714C8A">
              <w:rPr>
                <w:b/>
                <w:bCs/>
                <w:sz w:val="22"/>
                <w:szCs w:val="22"/>
                <w:lang w:val="en-US"/>
              </w:rPr>
              <w:t>TCP or UDP</w:t>
            </w:r>
          </w:p>
        </w:tc>
        <w:tc>
          <w:tcPr>
            <w:tcW w:w="5103" w:type="dxa"/>
            <w:tcBorders>
              <w:top w:val="single" w:sz="12" w:space="0" w:color="auto"/>
              <w:left w:val="single" w:sz="8" w:space="0" w:color="auto"/>
              <w:bottom w:val="single" w:sz="8" w:space="0" w:color="auto"/>
              <w:right w:val="single" w:sz="12" w:space="0" w:color="auto"/>
            </w:tcBorders>
            <w:shd w:val="clear" w:color="auto" w:fill="83CAEB" w:themeFill="accent1" w:themeFillTint="66"/>
            <w:vAlign w:val="center"/>
            <w:hideMark/>
          </w:tcPr>
          <w:p w14:paraId="3532F8AF" w14:textId="77777777" w:rsidR="00714C8A" w:rsidRPr="00714C8A" w:rsidRDefault="00714C8A" w:rsidP="00B04511">
            <w:pPr>
              <w:jc w:val="center"/>
              <w:rPr>
                <w:b/>
                <w:bCs/>
                <w:sz w:val="22"/>
                <w:szCs w:val="22"/>
                <w:rtl/>
              </w:rPr>
            </w:pPr>
            <w:r w:rsidRPr="00714C8A">
              <w:rPr>
                <w:b/>
                <w:bCs/>
                <w:sz w:val="22"/>
                <w:szCs w:val="22"/>
                <w:lang w:val="en-US"/>
              </w:rPr>
              <w:t>Reasons</w:t>
            </w:r>
          </w:p>
        </w:tc>
      </w:tr>
      <w:tr w:rsidR="00714C8A" w:rsidRPr="00714C8A" w14:paraId="5D0C4E35" w14:textId="77777777" w:rsidTr="00B04511">
        <w:trPr>
          <w:trHeight w:val="260"/>
        </w:trPr>
        <w:tc>
          <w:tcPr>
            <w:tcW w:w="3529" w:type="dxa"/>
            <w:tcBorders>
              <w:top w:val="dashSmallGap" w:sz="4" w:space="0" w:color="auto"/>
              <w:left w:val="single" w:sz="12" w:space="0" w:color="auto"/>
              <w:bottom w:val="dashSmallGap" w:sz="4" w:space="0" w:color="auto"/>
              <w:right w:val="single" w:sz="8" w:space="0" w:color="auto"/>
            </w:tcBorders>
            <w:vAlign w:val="center"/>
            <w:hideMark/>
          </w:tcPr>
          <w:p w14:paraId="32E15752" w14:textId="77777777" w:rsidR="00714C8A" w:rsidRPr="00714C8A" w:rsidRDefault="00714C8A" w:rsidP="00B04511">
            <w:pPr>
              <w:jc w:val="center"/>
              <w:rPr>
                <w:sz w:val="22"/>
                <w:szCs w:val="22"/>
                <w:rtl/>
              </w:rPr>
            </w:pPr>
            <w:r w:rsidRPr="00714C8A">
              <w:rPr>
                <w:sz w:val="22"/>
                <w:szCs w:val="22"/>
                <w:lang w:val="en-US"/>
              </w:rPr>
              <w:t>Reliability and Connection Establishment</w:t>
            </w:r>
          </w:p>
        </w:tc>
        <w:tc>
          <w:tcPr>
            <w:tcW w:w="1843" w:type="dxa"/>
            <w:tcBorders>
              <w:top w:val="dashSmallGap" w:sz="4" w:space="0" w:color="auto"/>
              <w:left w:val="single" w:sz="8" w:space="0" w:color="auto"/>
              <w:bottom w:val="dashSmallGap" w:sz="4" w:space="0" w:color="auto"/>
              <w:right w:val="single" w:sz="8" w:space="0" w:color="auto"/>
            </w:tcBorders>
            <w:vAlign w:val="center"/>
          </w:tcPr>
          <w:p w14:paraId="09DFA8C1" w14:textId="21B8BF12" w:rsidR="00714C8A" w:rsidRPr="00714C8A" w:rsidRDefault="00714C8A" w:rsidP="00B04511">
            <w:pPr>
              <w:jc w:val="center"/>
              <w:rPr>
                <w:sz w:val="22"/>
                <w:szCs w:val="22"/>
                <w:rtl/>
              </w:rPr>
            </w:pPr>
            <w:r w:rsidRPr="00714C8A">
              <w:rPr>
                <w:sz w:val="22"/>
                <w:szCs w:val="22"/>
              </w:rPr>
              <w:t>TCP</w:t>
            </w:r>
          </w:p>
        </w:tc>
        <w:tc>
          <w:tcPr>
            <w:tcW w:w="5103" w:type="dxa"/>
            <w:tcBorders>
              <w:top w:val="dashSmallGap" w:sz="4" w:space="0" w:color="auto"/>
              <w:left w:val="single" w:sz="8" w:space="0" w:color="auto"/>
              <w:bottom w:val="dashSmallGap" w:sz="4" w:space="0" w:color="auto"/>
              <w:right w:val="single" w:sz="12" w:space="0" w:color="auto"/>
            </w:tcBorders>
            <w:vAlign w:val="center"/>
          </w:tcPr>
          <w:p w14:paraId="64599DEC" w14:textId="71FFD33C" w:rsidR="00714C8A" w:rsidRPr="00714C8A" w:rsidRDefault="00714C8A" w:rsidP="00B04511">
            <w:pPr>
              <w:jc w:val="center"/>
              <w:rPr>
                <w:sz w:val="22"/>
                <w:szCs w:val="22"/>
              </w:rPr>
            </w:pPr>
            <w:r w:rsidRPr="00714C8A">
              <w:rPr>
                <w:sz w:val="22"/>
                <w:szCs w:val="22"/>
              </w:rPr>
              <w:t>Relies on a prior connection setup via the 3-way handshake. Guarantees data delivery and no data loss through retransmission mechanisms and acknowledgments.</w:t>
            </w:r>
          </w:p>
        </w:tc>
      </w:tr>
      <w:tr w:rsidR="00714C8A" w:rsidRPr="00714C8A" w14:paraId="30BD4211" w14:textId="77777777" w:rsidTr="00B04511">
        <w:trPr>
          <w:trHeight w:val="260"/>
        </w:trPr>
        <w:tc>
          <w:tcPr>
            <w:tcW w:w="3529" w:type="dxa"/>
            <w:tcBorders>
              <w:top w:val="dashSmallGap" w:sz="4" w:space="0" w:color="auto"/>
              <w:left w:val="single" w:sz="12" w:space="0" w:color="auto"/>
              <w:bottom w:val="dashSmallGap" w:sz="4" w:space="0" w:color="auto"/>
              <w:right w:val="single" w:sz="8" w:space="0" w:color="auto"/>
            </w:tcBorders>
            <w:vAlign w:val="center"/>
          </w:tcPr>
          <w:p w14:paraId="3C21418A" w14:textId="77777777" w:rsidR="00714C8A" w:rsidRPr="00714C8A" w:rsidRDefault="00714C8A" w:rsidP="00B04511">
            <w:pPr>
              <w:jc w:val="center"/>
              <w:rPr>
                <w:sz w:val="22"/>
                <w:szCs w:val="22"/>
                <w:lang w:val="en-US"/>
              </w:rPr>
            </w:pPr>
            <w:r w:rsidRPr="00714C8A">
              <w:rPr>
                <w:sz w:val="22"/>
                <w:szCs w:val="22"/>
                <w:lang w:val="en-US"/>
              </w:rPr>
              <w:t>Data Integrity and Ordering</w:t>
            </w:r>
          </w:p>
          <w:p w14:paraId="62DC0F64" w14:textId="77777777" w:rsidR="00714C8A" w:rsidRPr="00714C8A" w:rsidRDefault="00714C8A" w:rsidP="00B04511">
            <w:pPr>
              <w:jc w:val="center"/>
              <w:rPr>
                <w:sz w:val="22"/>
                <w:szCs w:val="22"/>
                <w:lang w:val="en-US"/>
              </w:rPr>
            </w:pPr>
          </w:p>
        </w:tc>
        <w:tc>
          <w:tcPr>
            <w:tcW w:w="1843" w:type="dxa"/>
            <w:tcBorders>
              <w:top w:val="dashSmallGap" w:sz="4" w:space="0" w:color="auto"/>
              <w:left w:val="single" w:sz="8" w:space="0" w:color="auto"/>
              <w:bottom w:val="dashSmallGap" w:sz="4" w:space="0" w:color="auto"/>
              <w:right w:val="single" w:sz="8" w:space="0" w:color="auto"/>
            </w:tcBorders>
            <w:vAlign w:val="center"/>
          </w:tcPr>
          <w:p w14:paraId="2F475B60" w14:textId="22A74E31" w:rsidR="00714C8A" w:rsidRPr="00714C8A" w:rsidRDefault="00714C8A" w:rsidP="00B04511">
            <w:pPr>
              <w:jc w:val="center"/>
              <w:rPr>
                <w:sz w:val="22"/>
                <w:szCs w:val="22"/>
              </w:rPr>
            </w:pPr>
            <w:r w:rsidRPr="00714C8A">
              <w:rPr>
                <w:sz w:val="22"/>
                <w:szCs w:val="22"/>
              </w:rPr>
              <w:t>TCP</w:t>
            </w:r>
          </w:p>
        </w:tc>
        <w:tc>
          <w:tcPr>
            <w:tcW w:w="5103" w:type="dxa"/>
            <w:tcBorders>
              <w:top w:val="dashSmallGap" w:sz="4" w:space="0" w:color="auto"/>
              <w:left w:val="single" w:sz="8" w:space="0" w:color="auto"/>
              <w:bottom w:val="dashSmallGap" w:sz="4" w:space="0" w:color="auto"/>
              <w:right w:val="single" w:sz="12" w:space="0" w:color="auto"/>
            </w:tcBorders>
            <w:vAlign w:val="center"/>
          </w:tcPr>
          <w:p w14:paraId="5F8948DD" w14:textId="74420672" w:rsidR="00714C8A" w:rsidRPr="00714C8A" w:rsidRDefault="00714C8A" w:rsidP="00B04511">
            <w:pPr>
              <w:jc w:val="center"/>
              <w:rPr>
                <w:sz w:val="22"/>
                <w:szCs w:val="22"/>
              </w:rPr>
            </w:pPr>
            <w:r w:rsidRPr="00714C8A">
              <w:rPr>
                <w:sz w:val="22"/>
                <w:szCs w:val="22"/>
              </w:rPr>
              <w:t>Assigns sequence numbers to each byte to order out-of-order packets. Uses checksums to strictly verify data integrity.</w:t>
            </w:r>
          </w:p>
        </w:tc>
      </w:tr>
    </w:tbl>
    <w:p w14:paraId="268F9872" w14:textId="77777777" w:rsidR="00714C8A" w:rsidRPr="00714C8A" w:rsidRDefault="00714C8A" w:rsidP="00714C8A">
      <w:pPr>
        <w:rPr>
          <w:sz w:val="22"/>
          <w:szCs w:val="22"/>
        </w:rPr>
      </w:pPr>
    </w:p>
    <w:p w14:paraId="60C125F2" w14:textId="77777777" w:rsidR="00B04511" w:rsidRDefault="00B04511" w:rsidP="00B04511">
      <w:pPr>
        <w:rPr>
          <w:sz w:val="22"/>
          <w:szCs w:val="22"/>
          <w:lang w:val="en-US"/>
        </w:rPr>
      </w:pPr>
    </w:p>
    <w:p w14:paraId="72CD4232" w14:textId="77777777" w:rsidR="00B04511" w:rsidRDefault="00B04511" w:rsidP="00B04511">
      <w:pPr>
        <w:rPr>
          <w:sz w:val="22"/>
          <w:szCs w:val="22"/>
        </w:rPr>
      </w:pPr>
    </w:p>
    <w:p w14:paraId="2C17ACF7" w14:textId="77777777" w:rsidR="00B04511" w:rsidRDefault="00B04511" w:rsidP="00B04511">
      <w:pPr>
        <w:rPr>
          <w:sz w:val="22"/>
          <w:szCs w:val="22"/>
          <w:lang w:val="en-US"/>
        </w:rPr>
      </w:pPr>
    </w:p>
    <w:p w14:paraId="20A72C7C" w14:textId="7AE7DD09" w:rsidR="00B04511" w:rsidRPr="00B04511" w:rsidRDefault="00B04511" w:rsidP="00B04511">
      <w:pPr>
        <w:rPr>
          <w:sz w:val="22"/>
          <w:szCs w:val="22"/>
          <w:lang w:val="en-US"/>
        </w:rPr>
      </w:pPr>
      <w:r w:rsidRPr="00B04511">
        <w:rPr>
          <w:sz w:val="22"/>
          <w:szCs w:val="22"/>
          <w:lang w:val="en-US"/>
        </w:rPr>
        <w:lastRenderedPageBreak/>
        <w:t>Task 2: Identify the use Cases and Performance of TCP and UDP.</w:t>
      </w:r>
    </w:p>
    <w:p w14:paraId="48625AA0" w14:textId="77777777" w:rsidR="00B04511" w:rsidRPr="00B04511" w:rsidRDefault="00B04511" w:rsidP="00B04511">
      <w:pPr>
        <w:rPr>
          <w:b/>
          <w:bCs/>
          <w:sz w:val="22"/>
          <w:szCs w:val="22"/>
          <w:lang w:val="en-US"/>
        </w:rPr>
      </w:pPr>
    </w:p>
    <w:tbl>
      <w:tblPr>
        <w:tblW w:w="10475" w:type="dxa"/>
        <w:tblInd w:w="-7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12"/>
        <w:gridCol w:w="4252"/>
        <w:gridCol w:w="4111"/>
      </w:tblGrid>
      <w:tr w:rsidR="00B04511" w:rsidRPr="00B04511" w14:paraId="49386654" w14:textId="77777777" w:rsidTr="00B04511">
        <w:trPr>
          <w:tblHeader/>
        </w:trPr>
        <w:tc>
          <w:tcPr>
            <w:tcW w:w="2112" w:type="dxa"/>
            <w:tcBorders>
              <w:top w:val="single" w:sz="12" w:space="0" w:color="auto"/>
              <w:left w:val="single" w:sz="12" w:space="0" w:color="auto"/>
              <w:bottom w:val="single" w:sz="8" w:space="0" w:color="auto"/>
              <w:right w:val="single" w:sz="8" w:space="0" w:color="auto"/>
            </w:tcBorders>
            <w:shd w:val="clear" w:color="auto" w:fill="83CAEB" w:themeFill="accent1" w:themeFillTint="66"/>
            <w:vAlign w:val="center"/>
          </w:tcPr>
          <w:p w14:paraId="003B9434" w14:textId="77777777" w:rsidR="00B04511" w:rsidRPr="00B04511" w:rsidRDefault="00B04511" w:rsidP="00B04511">
            <w:pPr>
              <w:jc w:val="center"/>
              <w:rPr>
                <w:b/>
                <w:bCs/>
                <w:sz w:val="22"/>
                <w:szCs w:val="22"/>
                <w:lang w:val="en-US"/>
              </w:rPr>
            </w:pPr>
          </w:p>
        </w:tc>
        <w:tc>
          <w:tcPr>
            <w:tcW w:w="4252" w:type="dxa"/>
            <w:tcBorders>
              <w:top w:val="single" w:sz="12" w:space="0" w:color="auto"/>
              <w:left w:val="single" w:sz="8" w:space="0" w:color="auto"/>
              <w:bottom w:val="single" w:sz="8" w:space="0" w:color="auto"/>
              <w:right w:val="single" w:sz="8" w:space="0" w:color="auto"/>
            </w:tcBorders>
            <w:shd w:val="clear" w:color="auto" w:fill="83CAEB" w:themeFill="accent1" w:themeFillTint="66"/>
            <w:vAlign w:val="center"/>
            <w:hideMark/>
          </w:tcPr>
          <w:p w14:paraId="08B14DD6" w14:textId="77777777" w:rsidR="00B04511" w:rsidRPr="00B04511" w:rsidRDefault="00B04511" w:rsidP="00B04511">
            <w:pPr>
              <w:jc w:val="center"/>
              <w:rPr>
                <w:b/>
                <w:bCs/>
                <w:sz w:val="22"/>
                <w:szCs w:val="22"/>
                <w:lang w:val="en-US"/>
              </w:rPr>
            </w:pPr>
            <w:r w:rsidRPr="00B04511">
              <w:rPr>
                <w:b/>
                <w:bCs/>
                <w:sz w:val="22"/>
                <w:szCs w:val="22"/>
                <w:lang w:val="en-US"/>
              </w:rPr>
              <w:t>TCP</w:t>
            </w:r>
          </w:p>
        </w:tc>
        <w:tc>
          <w:tcPr>
            <w:tcW w:w="4111" w:type="dxa"/>
            <w:tcBorders>
              <w:top w:val="single" w:sz="12" w:space="0" w:color="auto"/>
              <w:left w:val="single" w:sz="8" w:space="0" w:color="auto"/>
              <w:bottom w:val="single" w:sz="8" w:space="0" w:color="auto"/>
              <w:right w:val="single" w:sz="8" w:space="0" w:color="auto"/>
            </w:tcBorders>
            <w:shd w:val="clear" w:color="auto" w:fill="83CAEB" w:themeFill="accent1" w:themeFillTint="66"/>
            <w:vAlign w:val="center"/>
            <w:hideMark/>
          </w:tcPr>
          <w:p w14:paraId="1503AE0A" w14:textId="77777777" w:rsidR="00B04511" w:rsidRPr="00B04511" w:rsidRDefault="00B04511" w:rsidP="00B04511">
            <w:pPr>
              <w:jc w:val="center"/>
              <w:rPr>
                <w:b/>
                <w:bCs/>
                <w:sz w:val="22"/>
                <w:szCs w:val="22"/>
                <w:rtl/>
              </w:rPr>
            </w:pPr>
            <w:r w:rsidRPr="00B04511">
              <w:rPr>
                <w:b/>
                <w:bCs/>
                <w:sz w:val="22"/>
                <w:szCs w:val="22"/>
                <w:lang w:val="en-US"/>
              </w:rPr>
              <w:t>UDP</w:t>
            </w:r>
          </w:p>
        </w:tc>
      </w:tr>
      <w:tr w:rsidR="00B04511" w:rsidRPr="00B04511" w14:paraId="0DE874D2" w14:textId="77777777" w:rsidTr="00B04511">
        <w:trPr>
          <w:trHeight w:val="260"/>
        </w:trPr>
        <w:tc>
          <w:tcPr>
            <w:tcW w:w="2112" w:type="dxa"/>
            <w:tcBorders>
              <w:top w:val="dashSmallGap" w:sz="4" w:space="0" w:color="auto"/>
              <w:left w:val="single" w:sz="12" w:space="0" w:color="auto"/>
              <w:bottom w:val="dashSmallGap" w:sz="4" w:space="0" w:color="auto"/>
              <w:right w:val="single" w:sz="8" w:space="0" w:color="auto"/>
            </w:tcBorders>
            <w:vAlign w:val="center"/>
            <w:hideMark/>
          </w:tcPr>
          <w:p w14:paraId="13BA71A8" w14:textId="77777777" w:rsidR="00B04511" w:rsidRPr="00B04511" w:rsidRDefault="00B04511" w:rsidP="00B04511">
            <w:pPr>
              <w:jc w:val="center"/>
              <w:rPr>
                <w:sz w:val="22"/>
                <w:szCs w:val="22"/>
                <w:lang w:val="en-US"/>
              </w:rPr>
            </w:pPr>
            <w:r w:rsidRPr="00B04511">
              <w:rPr>
                <w:sz w:val="22"/>
                <w:szCs w:val="22"/>
                <w:lang w:val="en-US"/>
              </w:rPr>
              <w:t>Use cases</w:t>
            </w:r>
          </w:p>
        </w:tc>
        <w:tc>
          <w:tcPr>
            <w:tcW w:w="4252" w:type="dxa"/>
            <w:tcBorders>
              <w:top w:val="dashSmallGap" w:sz="4" w:space="0" w:color="auto"/>
              <w:left w:val="single" w:sz="8" w:space="0" w:color="auto"/>
              <w:bottom w:val="dashSmallGap" w:sz="4" w:space="0" w:color="auto"/>
              <w:right w:val="single" w:sz="8" w:space="0" w:color="auto"/>
            </w:tcBorders>
            <w:vAlign w:val="center"/>
          </w:tcPr>
          <w:p w14:paraId="2E5F7C24" w14:textId="4F5B5E37" w:rsidR="00B04511" w:rsidRPr="00B04511" w:rsidRDefault="00B04511" w:rsidP="00B04511">
            <w:pPr>
              <w:jc w:val="center"/>
              <w:rPr>
                <w:sz w:val="22"/>
                <w:szCs w:val="22"/>
              </w:rPr>
            </w:pPr>
            <w:r w:rsidRPr="00B04511">
              <w:rPr>
                <w:sz w:val="22"/>
                <w:szCs w:val="22"/>
              </w:rPr>
              <w:t>File transfer (FTP), web browsing (HTTP/HTTPS), email (SMTP), and applications requiring high reliability.</w:t>
            </w:r>
          </w:p>
        </w:tc>
        <w:tc>
          <w:tcPr>
            <w:tcW w:w="4111" w:type="dxa"/>
            <w:tcBorders>
              <w:top w:val="dashSmallGap" w:sz="4" w:space="0" w:color="auto"/>
              <w:left w:val="single" w:sz="8" w:space="0" w:color="auto"/>
              <w:bottom w:val="dashSmallGap" w:sz="4" w:space="0" w:color="auto"/>
              <w:right w:val="single" w:sz="8" w:space="0" w:color="auto"/>
            </w:tcBorders>
            <w:vAlign w:val="center"/>
          </w:tcPr>
          <w:p w14:paraId="202A32B8" w14:textId="181A6C49" w:rsidR="00B04511" w:rsidRPr="00B04511" w:rsidRDefault="00B04511" w:rsidP="00B04511">
            <w:pPr>
              <w:jc w:val="center"/>
              <w:rPr>
                <w:sz w:val="22"/>
                <w:szCs w:val="22"/>
              </w:rPr>
            </w:pPr>
            <w:r w:rsidRPr="00B04511">
              <w:rPr>
                <w:sz w:val="22"/>
                <w:szCs w:val="22"/>
              </w:rPr>
              <w:t>Live video streaming, Voice over IP (VoIP), online gaming, and DNS queries.</w:t>
            </w:r>
          </w:p>
        </w:tc>
      </w:tr>
      <w:tr w:rsidR="00B04511" w:rsidRPr="00B04511" w14:paraId="6E3FA9AB" w14:textId="77777777" w:rsidTr="00B04511">
        <w:trPr>
          <w:trHeight w:val="260"/>
        </w:trPr>
        <w:tc>
          <w:tcPr>
            <w:tcW w:w="2112" w:type="dxa"/>
            <w:tcBorders>
              <w:top w:val="dashSmallGap" w:sz="4" w:space="0" w:color="auto"/>
              <w:left w:val="single" w:sz="12" w:space="0" w:color="auto"/>
              <w:bottom w:val="dashSmallGap" w:sz="4" w:space="0" w:color="auto"/>
              <w:right w:val="single" w:sz="8" w:space="0" w:color="auto"/>
            </w:tcBorders>
            <w:vAlign w:val="center"/>
            <w:hideMark/>
          </w:tcPr>
          <w:p w14:paraId="29D643B4" w14:textId="77777777" w:rsidR="00B04511" w:rsidRPr="00B04511" w:rsidRDefault="00B04511" w:rsidP="00B04511">
            <w:pPr>
              <w:jc w:val="center"/>
              <w:rPr>
                <w:sz w:val="22"/>
                <w:szCs w:val="22"/>
                <w:lang w:val="en-US"/>
              </w:rPr>
            </w:pPr>
            <w:r w:rsidRPr="00B04511">
              <w:rPr>
                <w:sz w:val="22"/>
                <w:szCs w:val="22"/>
                <w:lang w:val="en-US"/>
              </w:rPr>
              <w:t>Performance</w:t>
            </w:r>
          </w:p>
        </w:tc>
        <w:tc>
          <w:tcPr>
            <w:tcW w:w="4252" w:type="dxa"/>
            <w:tcBorders>
              <w:top w:val="dashSmallGap" w:sz="4" w:space="0" w:color="auto"/>
              <w:left w:val="single" w:sz="8" w:space="0" w:color="auto"/>
              <w:bottom w:val="dashSmallGap" w:sz="4" w:space="0" w:color="auto"/>
              <w:right w:val="single" w:sz="8" w:space="0" w:color="auto"/>
            </w:tcBorders>
            <w:vAlign w:val="center"/>
          </w:tcPr>
          <w:p w14:paraId="713B79C8" w14:textId="675DD436" w:rsidR="00B04511" w:rsidRPr="00B04511" w:rsidRDefault="00B04511" w:rsidP="00B04511">
            <w:pPr>
              <w:jc w:val="center"/>
              <w:rPr>
                <w:sz w:val="22"/>
                <w:szCs w:val="22"/>
              </w:rPr>
            </w:pPr>
            <w:r w:rsidRPr="00B04511">
              <w:rPr>
                <w:sz w:val="22"/>
                <w:szCs w:val="22"/>
              </w:rPr>
              <w:t>Relatively slower due to the overhead of state tracking, acknowledgments, and flow control.</w:t>
            </w:r>
          </w:p>
        </w:tc>
        <w:tc>
          <w:tcPr>
            <w:tcW w:w="4111" w:type="dxa"/>
            <w:tcBorders>
              <w:top w:val="dashSmallGap" w:sz="4" w:space="0" w:color="auto"/>
              <w:left w:val="single" w:sz="8" w:space="0" w:color="auto"/>
              <w:bottom w:val="dashSmallGap" w:sz="4" w:space="0" w:color="auto"/>
              <w:right w:val="single" w:sz="8" w:space="0" w:color="auto"/>
            </w:tcBorders>
            <w:vAlign w:val="center"/>
          </w:tcPr>
          <w:p w14:paraId="11BBD74F" w14:textId="561A9B31" w:rsidR="00B04511" w:rsidRPr="00B04511" w:rsidRDefault="00B04511" w:rsidP="00B04511">
            <w:pPr>
              <w:jc w:val="center"/>
              <w:rPr>
                <w:sz w:val="22"/>
                <w:szCs w:val="22"/>
              </w:rPr>
            </w:pPr>
            <w:r w:rsidRPr="00B04511">
              <w:rPr>
                <w:sz w:val="22"/>
                <w:szCs w:val="22"/>
              </w:rPr>
              <w:t>Much faster because it is connectionless, does not wait for acknowledgments, and does not retransmit lost packets, which reduces latency.</w:t>
            </w:r>
          </w:p>
        </w:tc>
      </w:tr>
    </w:tbl>
    <w:p w14:paraId="31B21CCB" w14:textId="77777777" w:rsidR="00714C8A" w:rsidRPr="00E0752D" w:rsidRDefault="00714C8A" w:rsidP="00E0752D">
      <w:pPr>
        <w:rPr>
          <w:rFonts w:hint="cs"/>
          <w:sz w:val="22"/>
          <w:szCs w:val="22"/>
          <w:rtl/>
        </w:rPr>
      </w:pPr>
    </w:p>
    <w:p w14:paraId="61E156D9" w14:textId="77777777" w:rsidR="00336B27" w:rsidRPr="00336B27" w:rsidRDefault="00336B27">
      <w:pPr>
        <w:rPr>
          <w:rFonts w:hint="cs"/>
          <w:rtl/>
        </w:rPr>
      </w:pPr>
    </w:p>
    <w:sectPr w:rsidR="00336B27" w:rsidRPr="00336B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DA1"/>
    <w:multiLevelType w:val="multilevel"/>
    <w:tmpl w:val="C00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E22FF"/>
    <w:multiLevelType w:val="multilevel"/>
    <w:tmpl w:val="B85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27D77"/>
    <w:multiLevelType w:val="multilevel"/>
    <w:tmpl w:val="1EFE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35395">
    <w:abstractNumId w:val="1"/>
  </w:num>
  <w:num w:numId="2" w16cid:durableId="907956251">
    <w:abstractNumId w:val="0"/>
  </w:num>
  <w:num w:numId="3" w16cid:durableId="1412968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A5"/>
    <w:rsid w:val="00120847"/>
    <w:rsid w:val="001404A5"/>
    <w:rsid w:val="00282CC6"/>
    <w:rsid w:val="00336B27"/>
    <w:rsid w:val="00417236"/>
    <w:rsid w:val="006E2D38"/>
    <w:rsid w:val="00714C8A"/>
    <w:rsid w:val="007155C9"/>
    <w:rsid w:val="00B04511"/>
    <w:rsid w:val="00D33083"/>
    <w:rsid w:val="00E075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D07E"/>
  <w15:chartTrackingRefBased/>
  <w15:docId w15:val="{025DB030-C2C8-4ACA-9B51-CF469702B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4A5"/>
    <w:rPr>
      <w:rFonts w:eastAsiaTheme="majorEastAsia" w:cstheme="majorBidi"/>
      <w:color w:val="272727" w:themeColor="text1" w:themeTint="D8"/>
    </w:rPr>
  </w:style>
  <w:style w:type="paragraph" w:styleId="Title">
    <w:name w:val="Title"/>
    <w:basedOn w:val="Normal"/>
    <w:next w:val="Normal"/>
    <w:link w:val="TitleChar"/>
    <w:uiPriority w:val="10"/>
    <w:qFormat/>
    <w:rsid w:val="00140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4A5"/>
    <w:pPr>
      <w:spacing w:before="160"/>
      <w:jc w:val="center"/>
    </w:pPr>
    <w:rPr>
      <w:i/>
      <w:iCs/>
      <w:color w:val="404040" w:themeColor="text1" w:themeTint="BF"/>
    </w:rPr>
  </w:style>
  <w:style w:type="character" w:customStyle="1" w:styleId="QuoteChar">
    <w:name w:val="Quote Char"/>
    <w:basedOn w:val="DefaultParagraphFont"/>
    <w:link w:val="Quote"/>
    <w:uiPriority w:val="29"/>
    <w:rsid w:val="001404A5"/>
    <w:rPr>
      <w:i/>
      <w:iCs/>
      <w:color w:val="404040" w:themeColor="text1" w:themeTint="BF"/>
    </w:rPr>
  </w:style>
  <w:style w:type="paragraph" w:styleId="ListParagraph">
    <w:name w:val="List Paragraph"/>
    <w:basedOn w:val="Normal"/>
    <w:uiPriority w:val="34"/>
    <w:qFormat/>
    <w:rsid w:val="001404A5"/>
    <w:pPr>
      <w:ind w:left="720"/>
      <w:contextualSpacing/>
    </w:pPr>
  </w:style>
  <w:style w:type="character" w:styleId="IntenseEmphasis">
    <w:name w:val="Intense Emphasis"/>
    <w:basedOn w:val="DefaultParagraphFont"/>
    <w:uiPriority w:val="21"/>
    <w:qFormat/>
    <w:rsid w:val="001404A5"/>
    <w:rPr>
      <w:i/>
      <w:iCs/>
      <w:color w:val="0F4761" w:themeColor="accent1" w:themeShade="BF"/>
    </w:rPr>
  </w:style>
  <w:style w:type="paragraph" w:styleId="IntenseQuote">
    <w:name w:val="Intense Quote"/>
    <w:basedOn w:val="Normal"/>
    <w:next w:val="Normal"/>
    <w:link w:val="IntenseQuoteChar"/>
    <w:uiPriority w:val="30"/>
    <w:qFormat/>
    <w:rsid w:val="00140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4A5"/>
    <w:rPr>
      <w:i/>
      <w:iCs/>
      <w:color w:val="0F4761" w:themeColor="accent1" w:themeShade="BF"/>
    </w:rPr>
  </w:style>
  <w:style w:type="character" w:styleId="IntenseReference">
    <w:name w:val="Intense Reference"/>
    <w:basedOn w:val="DefaultParagraphFont"/>
    <w:uiPriority w:val="32"/>
    <w:qFormat/>
    <w:rsid w:val="00140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MOHAMMED IBRAHIM ALMUTAIRI</dc:creator>
  <cp:keywords/>
  <dc:description/>
  <cp:lastModifiedBy>ABDULAZIZ MOHAMMED IBRAHIM ALMUTAIRI</cp:lastModifiedBy>
  <cp:revision>7</cp:revision>
  <dcterms:created xsi:type="dcterms:W3CDTF">2026-10-03T14:19:00Z</dcterms:created>
  <dcterms:modified xsi:type="dcterms:W3CDTF">2026-10-03T14:54:00Z</dcterms:modified>
</cp:coreProperties>
</file>