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60"/>
      </w:pPr>
      <w:r>
        <w:rPr>
          <w:rFonts w:ascii="Calibri" w:hAnsi="Calibri" w:eastAsia="Microsoft YaHei"/>
          <w:b/>
          <w:color w:val="20252B"/>
          <w:sz w:val="54"/>
        </w:rPr>
        <w:t>多模态电网潮流计算</w:t>
      </w:r>
    </w:p>
    <w:p>
      <w:pPr>
        <w:spacing w:after="260"/>
      </w:pPr>
      <w:r>
        <w:rPr>
          <w:rFonts w:ascii="Calibri" w:hAnsi="Calibri" w:eastAsia="Microsoft YaHei"/>
          <w:b/>
          <w:color w:val="2E74B5"/>
          <w:sz w:val="48"/>
        </w:rPr>
        <w:t>分阶段调研计划</w:t>
      </w:r>
    </w:p>
    <w:p>
      <w:pPr>
        <w:spacing w:after="360"/>
      </w:pPr>
      <w:r>
        <w:rPr>
          <w:rFonts w:ascii="Calibri" w:hAnsi="Calibri" w:eastAsia="Microsoft YaHei"/>
          <w:b w:val="0"/>
          <w:color w:val="5F6B76"/>
          <w:sz w:val="26"/>
        </w:rPr>
        <w:t>围绕生成链补充数据依据、解析规律与验证方法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topology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1  调研目的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调研围绕当前生成器的实际阶段展开。重点是逐步回答三个问题：现实系统通常呈现什么规律；这些规律可以由哪些显式方程、统计模型、图算法或优化模型描述；生成结果可以通过哪些公开数据和定量指标进行核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E8F5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Calibri" w:hAnsi="Calibri" w:eastAsia="Microsoft YaHei"/>
                <w:b/>
                <w:color w:val="2A9D8F"/>
                <w:sz w:val="21"/>
              </w:rPr>
              <w:t>建议的阅读顺序</w:t>
              <w:br/>
            </w:r>
            <w:r>
              <w:rPr>
                <w:rFonts w:ascii="Calibri" w:hAnsi="Calibri" w:eastAsia="Microsoft YaHei"/>
                <w:b w:val="0"/>
                <w:color w:val="20252B"/>
                <w:sz w:val="20"/>
              </w:rPr>
              <w:t>先确定变量、单位与可获得数据，再理解解析模型及其假设，随后寻找可复现实现和标准算例，最后比较当前生成结果与现实统计之间的差异。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 各阶段调研内容</w:t>
      </w:r>
    </w:p>
    <w:p>
      <w:pPr>
        <w:pStyle w:val="Heading2"/>
        <w:keepNext/>
      </w:pPr>
      <w:r>
        <w:t>阶段0：数据基础与问题定义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梳理电网、气象、风光、负荷、地形和土地利用公开数据，明确不同数据的字段、单位、空间分辨率、时间间隔、许可和可连接关系。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现有数据分别覆盖哪些模态，能否直接构成潮流输入与标签。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MATPOWER、PGLib-OPF、PowerGraph、PSML、SDWPF、ERA5和OPSD等资源的适用范围。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节点、线路、栅格和时间序列在统一样本中的数据契约。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真实数据校准、解析生成和物理求解标签之间的关系。</w:t>
      </w:r>
    </w:p>
    <w:p>
      <w:pPr>
        <w:pStyle w:val="Heading2"/>
        <w:keepNext/>
      </w:pPr>
      <w:r>
        <w:t>阶段1：地形生成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建立随地图尺度扩展而增加新结构的地形模型，同时保持局部地貌连续和整体统计稳定。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DEM高程、坡度、曲率、粗糙度和空间频谱的典型规律。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分形布朗运动、梯度噪声、域扭曲和侵蚀模型的差异。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地图由64×64扩展到128×128时如何避免只变成高分辨率版本。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高程范围、相关长度、尺度谱和边界连续性的校准方式。</w:t>
      </w:r>
    </w:p>
    <w:p>
      <w:pPr>
        <w:pStyle w:val="Heading2"/>
        <w:keepNext/>
      </w:pPr>
      <w:r>
        <w:t>阶段2：水文与泛洪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从高程出发解析获得流向、汇流、河网、湖泊与泛洪风险。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Priority-Flood及洼地填充、保留与湖泊形成方法。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D8、D∞和多流向算法的假设及适用条件。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汇流阈值、河宽、Strahler级次、排水密度和湖泊面积规律。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河流连续性、水体扩张、洪泛区与地形关系的验证方法。</w:t>
      </w:r>
    </w:p>
    <w:p>
      <w:pPr>
        <w:pStyle w:val="Heading2"/>
        <w:keepNext/>
      </w:pPr>
      <w:r>
        <w:t>阶段3：静态土地约束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把坡度、水体、洪泛、保护区和可建设性组织为稳定的空间约束层。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保护区、生态敏感区和土地覆盖常用判据及可获得数据。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坡度、距水体距离、泛洪概率和建设成本之间的关系。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同类或重复掩码如何合并为少量互斥或可叠加通道。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约束层对城市、能源设施和线路规划的作用边界。</w:t>
      </w:r>
    </w:p>
    <w:p>
      <w:pPr>
        <w:pStyle w:val="Heading2"/>
        <w:keepNext/>
      </w:pPr>
      <w:r>
        <w:t>阶段4：气候背景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形成具有地形、水体和区域差异的基础风场、温度、湿度、云量、降水和辐照度。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温度垂直递减率、纬向差异及季节变化。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地形导流、地表粗糙度与风速剖面的关系。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水体对局地湿度和温度的影响尺度。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ERA5与ERA5-Land变量、统计分布和空间相关长度。</w:t>
      </w:r>
    </w:p>
    <w:p>
      <w:pPr>
        <w:pStyle w:val="Heading2"/>
        <w:keepNext/>
      </w:pPr>
      <w:r>
        <w:t>阶段5：小时级天气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用可解释的动力与随机过程描述云团、降雨、风和局部温度、光照的小时演化。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平流—扩散—源汇方程及其数值稳定条件。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云团生成、聚合、分裂、消散与地形抬升机制。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云覆盖对辐照和局地温度的反馈。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时空自相关、云雨条件概率、降雨间歇性和极值分布。</w:t>
      </w:r>
    </w:p>
    <w:p>
      <w:pPr>
        <w:pStyle w:val="Heading2"/>
        <w:keepNext/>
      </w:pPr>
      <w:r>
        <w:t>阶段6：城市初始化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根据地形、水源、风险、交通可达性与区域适宜度形成多中心城市体系。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城市选址的GIS适宜度指标及其可观测依据。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城市数量、人口规模和等级分布随区域面积的变化。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多中心、距离衰减、引力模型和边缘效应。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城市核心密集、外围逐渐衰减的连续函数。</w:t>
      </w:r>
    </w:p>
    <w:p>
      <w:pPr>
        <w:pStyle w:val="Heading2"/>
        <w:keepNext/>
      </w:pPr>
      <w:r>
        <w:t>阶段7：土地利用与负荷区域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在城市体系基础上形成居住、商业、工业、农业和公园等功能区，并映射空间负荷。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不同功能区对坡度、水体、中心距离和交通的偏好。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约束元胞自动机、多中心扩张与混合用地规则。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人口、建筑面积、用地类型与用电强度的对应关系。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负荷覆盖率、空间离散度、峰谷比和温度敏感性。</w:t>
      </w:r>
    </w:p>
    <w:p>
      <w:pPr>
        <w:pStyle w:val="Heading2"/>
        <w:keepNext/>
      </w:pPr>
      <w:r>
        <w:t>阶段8：能源与负荷节点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把连续资源与需求场转化为离散风电、光伏、常规电源和负荷节点。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风机功率曲线、尾流间距和风场装机密度。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PVWatts类辐照—温度—DC/AC光伏转换链。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常规电源容量、选址、水源和城市距离约束。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覆盖、聚集与排斥规则对节点空间分布的影响。</w:t>
      </w:r>
    </w:p>
    <w:p>
      <w:pPr>
        <w:pStyle w:val="Heading2"/>
        <w:keepNext/>
      </w:pPr>
      <w:r>
        <w:t>阶段9：母线候选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从源荷设施和空间走廊中形成具有明确电气含义的母线候选。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母线层级、变电站服务范围和电压等级。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源、荷和中转节点的映射关系。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候选点密度与后续线路复杂度的关系。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节点合并、最小间距和空间风险对可行性的影响。</w:t>
      </w:r>
    </w:p>
    <w:p>
      <w:pPr>
        <w:pStyle w:val="Heading2"/>
        <w:keepNext/>
      </w:pPr>
      <w:r>
        <w:t>阶段10：电网拓扑与线路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在经济性、可靠性和地理风险之间建立可解释的连通结构与线路走廊。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MST、Steiner近似、k近邻候选图和冗余回路。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A*路径成本中坡度、水体、城市和风险的权重依据。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线路电压等级、长度、R/X/B、热容量与标幺制。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连通性、环路数、节点度、总长度和N-1安全性。</w:t>
      </w:r>
    </w:p>
    <w:p>
      <w:pPr>
        <w:pStyle w:val="Heading2"/>
        <w:keepNext/>
      </w:pPr>
      <w:r>
        <w:t>阶段11：电网运行与潮流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根据节点注入、线路参数和拓扑计算节点电压与线路有功、无功潮流。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AC节点功率平衡方程与牛顿—拉夫逊求解。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DC潮流假设、速度优势和误差边界。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MATPOWER与PGLib标准算例的字段和结果对齐。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收敛率、功率平衡残差、电压偏差、线路越限和损耗。</w:t>
      </w:r>
    </w:p>
    <w:p>
      <w:pPr>
        <w:pStyle w:val="Heading2"/>
        <w:keepNext/>
      </w:pPr>
      <w:r>
        <w:t>阶段12：网络更新与安全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根据多时段潮流识别薄弱位置，并研究线路扩容、新增连接及安全约束。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峰值、平均值和持续过载小时的区别。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线路倍率与并联线路的等效关系。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PTDF、LODF及N-1故障分析。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拓扑更新前后的成本、潮流重分布和安全裕度。</w:t>
      </w:r>
    </w:p>
    <w:p>
      <w:pPr>
        <w:pStyle w:val="Heading2"/>
        <w:keepNext/>
      </w:pPr>
      <w:r>
        <w:t>阶段13：储能需求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由时空供需不平衡和局部网络约束识别储能需求位置与规模。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系统能量缺口与局部线路拥塞的区分。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储能功率容量和能量容量的定容方法。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节点边际价值、可达性与风险对选址的影响。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短时功率支撑与跨时段能量转移的不同作用。</w:t>
      </w:r>
    </w:p>
    <w:p>
      <w:pPr>
        <w:pStyle w:val="Heading2"/>
        <w:keepNext/>
      </w:pPr>
      <w:r>
        <w:t>阶段14：储能调度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通过多时段优化形成合理的充放电、SOC和备用状态。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SOC状态方程、效率、自放电和功率、能量边界。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初末SOC一致、长期备用水平和循环深度。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线性规划、混合整数规划及退化成本。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缺电、弃电、线路拥塞和调节次数的综合评价。</w:t>
      </w:r>
    </w:p>
    <w:p>
      <w:pPr>
        <w:pStyle w:val="Heading2"/>
        <w:keepNext/>
      </w:pPr>
      <w:r>
        <w:t>阶段15：数据集与Benchmark</w:t>
      </w:r>
    </w:p>
    <w:p>
      <w:pPr>
        <w:jc w:val="both"/>
      </w:pPr>
      <w:r>
        <w:rPr>
          <w:rFonts w:ascii="Calibri" w:hAnsi="Calibri" w:eastAsia="Microsoft YaHei"/>
          <w:b w:val="0"/>
          <w:color w:val="20252B"/>
          <w:sz w:val="21"/>
        </w:rPr>
        <w:t>把全部阶段整理为可复现的多模态潮流数据集和统一评测协议。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静态连续栅格、静态离散栅格、动态图节点和线路数据的组织。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IID、跨随机种子、跨尺度、跨气候和跨能源结构的OOD划分。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模态随机缺失、拓扑扰动和N-1场景。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ARIMA、LSTM/GRU、图模型与物理约束模型的统一指标。</w:t>
      </w:r>
    </w:p>
    <w:p>
      <w:pPr>
        <w:pStyle w:val="Heading1"/>
        <w:keepNext/>
      </w:pPr>
      <w:r>
        <w:t>3  每项调研建议记录的信息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研究对象与尺度：空间范围、栅格分辨率、时间步长和适用场景。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变量与单位：输入、状态、输出、参数的符号、单位和合理范围。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理论与假设：主要方程、算法步骤、边界条件及不适用情形。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数据依据：数据来源、许可、样例范围、预处理方式和可校准统计量。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验证方法：分布、相关性、物理残差、标准算例或跨尺度稳定性。</w:t>
      </w:r>
    </w:p>
    <w:p>
      <w:pPr>
        <w:pStyle w:val="ListBullet"/>
        <w:ind w:left="312" w:hanging="142"/>
      </w:pPr>
      <w:r>
        <w:rPr>
          <w:rFonts w:ascii="Calibri" w:hAnsi="Calibri" w:eastAsia="Microsoft YaHei"/>
          <w:b w:val="0"/>
          <w:color w:val="20252B"/>
          <w:sz w:val="20"/>
        </w:rPr>
        <w:t>与当前程序的关系：现有规则是否保留、需要调整的参数以及可能替代的模块。</w:t>
      </w:r>
    </w:p>
    <w:p>
      <w:pPr>
        <w:pStyle w:val="Heading1"/>
        <w:keepNext/>
      </w:pPr>
      <w:r>
        <w:t>4  重点公开数据与文献入口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98"/>
            <w:vAlign w:val="center"/>
            <w:shd w:fill="EAF3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5"/>
              </w:rPr>
              <w:t>资源</w:t>
            </w:r>
          </w:p>
        </w:tc>
        <w:tc>
          <w:tcPr>
            <w:tcW w:type="dxa" w:w="3061"/>
            <w:vAlign w:val="center"/>
            <w:shd w:fill="EAF3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5"/>
              </w:rPr>
              <w:t>可参考内容</w:t>
            </w:r>
          </w:p>
        </w:tc>
        <w:tc>
          <w:tcPr>
            <w:tcW w:type="dxa" w:w="4762"/>
            <w:vAlign w:val="center"/>
            <w:shd w:fill="EAF3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5"/>
              </w:rPr>
              <w:t>网址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MATPOWER Power Flow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AC/DC潮流方程与求解器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https://matpower.app/manual/matpower/PowerFlow.html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PGLib-OPF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标准AC-OPF算例与参考结果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https://github.com/power-grid-lib/pglib-opf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PowerGraph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PF/OPF/故障图学习Benchmark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https://powergraph.ivia.ch/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PSML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多尺度电网时序和动态扰动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https://github.com/tamu-engineering-research/Open-source-power-dataset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SDWPF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真实风机阵列SCADA与空间关系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https://figshare.com/articles/dataset/SDWPF_dataset/24798654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ERA5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全球小时级气象再分析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https://cds.climate.copernicus.eu/datasets/reanalysis-era5-single-levels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NREL WIND Toolkit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风资源、功率和预测数据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https://www.nrel.gov/grid/wind-toolkit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PVWatts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光伏发电解析估算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https://developer.nrel.gov/docs/solar/pvwatts/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Priority-Flood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DEM洼地填充与流域标记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https://doi.org/10.1016/j.cageo.2013.04.024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WRF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解析数值天气模型参考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https://github.com/wrf-model/WRF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NERC Reliability Standards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输电规划与运行安全规则索引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https://www.nerc.com/standards/reliability-standards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Open Power System Data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负荷、风光、装机与天气时序</w:t>
            </w:r>
          </w:p>
        </w:tc>
        <w:tc>
          <w:tcPr>
            <w:tcW w:type="dxa" w:w="4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5"/>
              </w:rPr>
              <w:t>https://open-power-system-data.org/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F6B76"/>
        <w:sz w:val="17"/>
      </w:rPr>
      <w:t xml:space="preserve">PF-Delta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F6B76"/>
        <w:sz w:val="17"/>
      </w:rPr>
      <w:t>多模态电网潮流计算 · 分阶段调研计划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 w:eastAsia="Microsoft YaHei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025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25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多模态电网潮流计算：分阶段调研计划</dc:title>
  <dc:subject>按解析世界生成步骤组织的数据、规律、模型与验证问题</dc:subject>
  <dc:creator>PF-Delta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