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60"/>
      </w:pPr>
      <w:r>
        <w:rPr>
          <w:rFonts w:ascii="Calibri" w:hAnsi="Calibri" w:eastAsia="Microsoft YaHei"/>
          <w:b/>
          <w:color w:val="20252B"/>
          <w:sz w:val="54"/>
        </w:rPr>
        <w:t>多模态电网潮流计算</w:t>
      </w:r>
    </w:p>
    <w:p>
      <w:pPr>
        <w:spacing w:after="260"/>
      </w:pPr>
      <w:r>
        <w:rPr>
          <w:rFonts w:ascii="Calibri" w:hAnsi="Calibri" w:eastAsia="Microsoft YaHei"/>
          <w:b/>
          <w:color w:val="2E74B5"/>
          <w:sz w:val="48"/>
        </w:rPr>
        <w:t>项目现状、核心目标与预期形态</w:t>
      </w:r>
    </w:p>
    <w:p>
      <w:pPr>
        <w:spacing w:after="360"/>
      </w:pPr>
      <w:r>
        <w:rPr>
          <w:rFonts w:ascii="Calibri" w:hAnsi="Calibri" w:eastAsia="Microsoft YaHei"/>
          <w:b w:val="0"/>
          <w:color w:val="5F6B76"/>
          <w:sz w:val="26"/>
        </w:rPr>
        <w:t>解析世界建模 · 物理潮流标签 · 跨场景Benchmark</w:t>
      </w:r>
    </w:p>
    <w:p>
      <w:pPr>
        <w:keepLines/>
        <w:jc w:val="center"/>
      </w:pPr>
      <w:r>
        <w:drawing>
          <wp:inline xmlns:a="http://schemas.openxmlformats.org/drawingml/2006/main" xmlns:pic="http://schemas.openxmlformats.org/drawingml/2006/picture">
            <wp:extent cx="5580000" cy="4565455"/>
            <wp:docPr id="1" name="Picture 1"/>
            <wp:cNvGraphicFramePr>
              <a:graphicFrameLocks noChangeAspect="1"/>
            </wp:cNvGraphicFramePr>
            <a:graphic>
              <a:graphicData uri="http://schemas.openxmlformats.org/drawingml/2006/picture">
                <pic:pic>
                  <pic:nvPicPr>
                    <pic:cNvPr id="0" name="grid_topology_overview.png"/>
                    <pic:cNvPicPr/>
                  </pic:nvPicPr>
                  <pic:blipFill>
                    <a:blip r:embed="rId11"/>
                    <a:stretch>
                      <a:fillRect/>
                    </a:stretch>
                  </pic:blipFill>
                  <pic:spPr>
                    <a:xfrm>
                      <a:off x="0" y="0"/>
                      <a:ext cx="5580000" cy="4565455"/>
                    </a:xfrm>
                    <a:prstGeom prst="rect"/>
                  </pic:spPr>
                </pic:pic>
              </a:graphicData>
            </a:graphic>
          </wp:inline>
        </w:drawing>
      </w:r>
    </w:p>
    <w:p>
      <w:r>
        <w:br w:type="page"/>
      </w:r>
    </w:p>
    <w:p>
      <w:pPr>
        <w:pStyle w:val="Heading1"/>
        <w:keepNext/>
      </w:pPr>
      <w:r>
        <w:t>1  项目背景与定位</w:t>
      </w: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核心定位</w:t>
              <w:br/>
            </w:r>
            <w:r>
              <w:rPr>
                <w:rFonts w:ascii="Calibri" w:hAnsi="Calibri" w:eastAsia="Microsoft YaHei"/>
                <w:b w:val="0"/>
                <w:color w:val="20252B"/>
                <w:sz w:val="20"/>
              </w:rPr>
              <w:t>面向多模态电网潮流计算构建可控、可解释、可复核的数据与评测环境。场景由地理环境、气象过程、城市活动、能源资源、电网结构和运行状态共同构成，潮流标签由物理求解器产生，从而支持跨场景、跨拓扑和不完备观测条件下的系统研究。</w:t>
            </w:r>
          </w:p>
        </w:tc>
      </w:tr>
    </w:tbl>
    <w:p>
      <w:pPr>
        <w:spacing w:after="20"/>
      </w:pPr>
    </w:p>
    <w:p>
      <w:pPr>
        <w:jc w:val="both"/>
      </w:pPr>
      <w:r>
        <w:rPr>
          <w:rFonts w:ascii="Calibri" w:hAnsi="Calibri" w:eastAsia="Microsoft YaHei"/>
          <w:b w:val="0"/>
          <w:color w:val="20252B"/>
          <w:sz w:val="21"/>
        </w:rPr>
        <w:t>现有公开资源分别覆盖电气算例、运行时序、气象再分析、风光资源和局部新能源场站，但这些信息通常来自不同空间范围、时间尺度和数据规范。当前项目以统一世界坐标和统一时间轴组织这些模态，使地形、水文、天气、人口活动、源荷设施、电网拓扑与潮流状态之间形成连续的因果链。程序化世界并不替代真实电网，而是补足真实数据难以同时覆盖全部模态、反事实条件和拓扑变化的问题。</w:t>
      </w:r>
    </w:p>
    <w:p>
      <w:pPr>
        <w:pStyle w:val="ListBullet"/>
        <w:ind w:left="312" w:hanging="142"/>
      </w:pPr>
      <w:r>
        <w:rPr>
          <w:rFonts w:ascii="Calibri" w:hAnsi="Calibri" w:eastAsia="Microsoft YaHei"/>
          <w:b w:val="0"/>
          <w:color w:val="20252B"/>
          <w:sz w:val="20"/>
        </w:rPr>
        <w:t>研究对象：多模态场景、节点与线路状态、AC/DC潮流、源荷变化、网络安全和储能调节。</w:t>
      </w:r>
    </w:p>
    <w:p>
      <w:pPr>
        <w:pStyle w:val="ListBullet"/>
        <w:ind w:left="312" w:hanging="142"/>
      </w:pPr>
      <w:r>
        <w:rPr>
          <w:rFonts w:ascii="Calibri" w:hAnsi="Calibri" w:eastAsia="Microsoft YaHei"/>
          <w:b w:val="0"/>
          <w:color w:val="20252B"/>
          <w:sz w:val="20"/>
        </w:rPr>
        <w:t>建模原则：优先采用可解释的物理方程、空间统计、图算法、数值求解与优化模型。</w:t>
      </w:r>
    </w:p>
    <w:p>
      <w:pPr>
        <w:pStyle w:val="ListBullet"/>
        <w:ind w:left="312" w:hanging="142"/>
      </w:pPr>
      <w:r>
        <w:rPr>
          <w:rFonts w:ascii="Calibri" w:hAnsi="Calibri" w:eastAsia="Microsoft YaHei"/>
          <w:b w:val="0"/>
          <w:color w:val="20252B"/>
          <w:sz w:val="20"/>
        </w:rPr>
        <w:t>数据原则：真实数据用于确定变量范围、相关关系与典型分布，解析模型用于生成可控场景和反事实样本。</w:t>
      </w:r>
    </w:p>
    <w:p>
      <w:pPr>
        <w:pStyle w:val="ListBullet"/>
        <w:ind w:left="312" w:hanging="142"/>
      </w:pPr>
      <w:r>
        <w:rPr>
          <w:rFonts w:ascii="Calibri" w:hAnsi="Calibri" w:eastAsia="Microsoft YaHei"/>
          <w:b w:val="0"/>
          <w:color w:val="20252B"/>
          <w:sz w:val="20"/>
        </w:rPr>
        <w:t>评测原则：同时关注预测误差、物理残差、可行率、跨世界泛化能力和计算效率。</w:t>
      </w:r>
    </w:p>
    <w:p>
      <w:pPr>
        <w:pStyle w:val="Heading1"/>
        <w:keepNext/>
      </w:pPr>
      <w:r>
        <w:t>2  当前系统已经具备的内容</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474"/>
            <w:vAlign w:val="center"/>
            <w:shd w:fill="EAF3F9"/>
            <w:tcMar>
              <w:top w:w="80" w:type="dxa"/>
              <w:start w:w="110" w:type="dxa"/>
              <w:bottom w:w="80" w:type="dxa"/>
              <w:end w:w="110" w:type="dxa"/>
            </w:tcMar>
          </w:tcPr>
          <w:p>
            <w:pPr>
              <w:jc w:val="center"/>
            </w:pPr>
            <w:r>
              <w:rPr>
                <w:rFonts w:ascii="Calibri" w:hAnsi="Calibri" w:eastAsia="Microsoft YaHei"/>
                <w:b/>
                <w:color w:val="2E74B5"/>
                <w:sz w:val="16"/>
              </w:rPr>
              <w:t>组成部分</w:t>
            </w:r>
          </w:p>
        </w:tc>
        <w:tc>
          <w:tcPr>
            <w:tcW w:type="dxa" w:w="2835"/>
            <w:vAlign w:val="center"/>
            <w:shd w:fill="EAF3F9"/>
            <w:tcMar>
              <w:top w:w="80" w:type="dxa"/>
              <w:start w:w="110" w:type="dxa"/>
              <w:bottom w:w="80" w:type="dxa"/>
              <w:end w:w="110" w:type="dxa"/>
            </w:tcMar>
          </w:tcPr>
          <w:p>
            <w:pPr>
              <w:jc w:val="center"/>
            </w:pPr>
            <w:r>
              <w:rPr>
                <w:rFonts w:ascii="Calibri" w:hAnsi="Calibri" w:eastAsia="Microsoft YaHei"/>
                <w:b/>
                <w:color w:val="2E74B5"/>
                <w:sz w:val="16"/>
              </w:rPr>
              <w:t>当前内容</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6"/>
              </w:rPr>
              <w:t>可观测输出</w:t>
            </w:r>
          </w:p>
        </w:tc>
        <w:tc>
          <w:tcPr>
            <w:tcW w:type="dxa" w:w="2665"/>
            <w:vAlign w:val="center"/>
            <w:shd w:fill="EAF3F9"/>
            <w:tcMar>
              <w:top w:w="80" w:type="dxa"/>
              <w:start w:w="110" w:type="dxa"/>
              <w:bottom w:w="80" w:type="dxa"/>
              <w:end w:w="110" w:type="dxa"/>
            </w:tcMar>
          </w:tcPr>
          <w:p>
            <w:pPr>
              <w:jc w:val="center"/>
            </w:pPr>
            <w:r>
              <w:rPr>
                <w:rFonts w:ascii="Calibri" w:hAnsi="Calibri" w:eastAsia="Microsoft YaHei"/>
                <w:b/>
                <w:color w:val="2E74B5"/>
                <w:sz w:val="16"/>
              </w:rPr>
              <w:t>在整体系统中的作用</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地形与水文</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多尺度连续地形、坡度、流向、汇流、河流、湖泊与泛洪风险</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高程场、坡度场、河网和水体掩码</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提供建设条件、自然风险和空间边界</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气候与天气</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基础温湿度、盛行风、云团运动、降雨和辐照变化</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日尺度背景场与小时级T×C×H×W序列</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驱动风光出力、负荷变化和环境风险</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城市与土地利用</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城市中心、人口规模、建成区及住商工农园功能分区</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连续适宜度、离散用地和建筑纹理</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形成负荷的空间支撑与设施建设约束</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能源与负荷节点</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负荷、风电、光伏和常规电源的选址与容量</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节点位置、类型、容量和运行时间序列</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形成电网节点注入和能源结构</w:t>
            </w:r>
          </w:p>
        </w:tc>
      </w:tr>
      <w:tr>
        <w:tc>
          <w:tcPr>
            <w:tcW w:type="dxa" w:w="1474"/>
            <w:vAlign w:val="center"/>
            <w:tcMar>
              <w:top w:w="80" w:type="dxa"/>
              <w:start w:w="110" w:type="dxa"/>
              <w:bottom w:w="80" w:type="dxa"/>
              <w:end w:w="110" w:type="dxa"/>
            </w:tcMar>
          </w:tcPr>
          <w:p>
            <w:pPr>
              <w:jc w:val="left"/>
            </w:pPr>
            <w:r>
              <w:rPr>
                <w:rFonts w:ascii="Calibri" w:hAnsi="Calibri" w:eastAsia="Microsoft YaHei"/>
                <w:b w:val="0"/>
                <w:color w:val="20252B"/>
                <w:sz w:val="16"/>
              </w:rPr>
              <w:t>电网拓扑与线路</w:t>
            </w:r>
          </w:p>
        </w:tc>
        <w:tc>
          <w:tcPr>
            <w:tcW w:type="dxa" w:w="2835"/>
            <w:vAlign w:val="center"/>
            <w:tcMar>
              <w:top w:w="80" w:type="dxa"/>
              <w:start w:w="110" w:type="dxa"/>
              <w:bottom w:w="80" w:type="dxa"/>
              <w:end w:w="110" w:type="dxa"/>
            </w:tcMar>
          </w:tcPr>
          <w:p>
            <w:pPr>
              <w:jc w:val="left"/>
            </w:pPr>
            <w:r>
              <w:rPr>
                <w:rFonts w:ascii="Calibri" w:hAnsi="Calibri" w:eastAsia="Microsoft YaHei"/>
                <w:b w:val="0"/>
                <w:color w:val="20252B"/>
                <w:sz w:val="16"/>
              </w:rPr>
              <w:t>候选母线、连通结构、A*线路走廊和电气参数</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6"/>
              </w:rPr>
              <w:t>节点图、线路图、路径与线路倍率</w:t>
            </w:r>
          </w:p>
        </w:tc>
        <w:tc>
          <w:tcPr>
            <w:tcW w:type="dxa" w:w="2665"/>
            <w:vAlign w:val="center"/>
            <w:tcMar>
              <w:top w:w="80" w:type="dxa"/>
              <w:start w:w="110" w:type="dxa"/>
              <w:bottom w:w="80" w:type="dxa"/>
              <w:end w:w="110" w:type="dxa"/>
            </w:tcMar>
          </w:tcPr>
          <w:p>
            <w:pPr>
              <w:jc w:val="left"/>
            </w:pPr>
            <w:r>
              <w:rPr>
                <w:rFonts w:ascii="Calibri" w:hAnsi="Calibri" w:eastAsia="Microsoft YaHei"/>
                <w:b w:val="0"/>
                <w:color w:val="20252B"/>
                <w:sz w:val="16"/>
              </w:rPr>
              <w:t>建立源荷之间的物理传输网络</w:t>
            </w:r>
          </w:p>
        </w:tc>
      </w:tr>
      <w:tr>
        <w:tc>
          <w:tcPr>
            <w:tcW w:type="dxa" w:w="147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运行与储能</w:t>
            </w:r>
          </w:p>
        </w:tc>
        <w:tc>
          <w:tcPr>
            <w:tcW w:type="dxa" w:w="283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潮流近似、线路负载、网络更新、储能需求和调度</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潮流、负载率、SOC及充放电状态</w:t>
            </w:r>
          </w:p>
        </w:tc>
        <w:tc>
          <w:tcPr>
            <w:tcW w:type="dxa" w:w="2665"/>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形成时序运行标签和调节结果</w:t>
            </w:r>
          </w:p>
        </w:tc>
      </w:tr>
    </w:tbl>
    <w:p>
      <w:pPr>
        <w:spacing w:after="20"/>
      </w:pP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代码仓库</w:t>
              <w:br/>
            </w:r>
            <w:r>
              <w:rPr>
                <w:rFonts w:ascii="Calibri" w:hAnsi="Calibri" w:eastAsia="Microsoft YaHei"/>
                <w:b w:val="0"/>
                <w:color w:val="20252B"/>
                <w:sz w:val="20"/>
              </w:rPr>
              <w:t>项目代码与研究材料同步维护于：https://github.com/Hevensh/SimGenr（私人仓库）。</w:t>
            </w:r>
          </w:p>
        </w:tc>
      </w:tr>
    </w:tbl>
    <w:p>
      <w:pPr>
        <w:spacing w:after="20"/>
      </w:pPr>
    </w:p>
    <w:p>
      <w:pPr>
        <w:keepLines/>
        <w:jc w:val="center"/>
      </w:pPr>
      <w:r>
        <w:drawing>
          <wp:inline xmlns:a="http://schemas.openxmlformats.org/drawingml/2006/main" xmlns:pic="http://schemas.openxmlformats.org/drawingml/2006/picture">
            <wp:extent cx="5652000" cy="4844571"/>
            <wp:docPr id="2" name="Picture 2"/>
            <wp:cNvGraphicFramePr>
              <a:graphicFrameLocks noChangeAspect="1"/>
            </wp:cNvGraphicFramePr>
            <a:graphic>
              <a:graphicData uri="http://schemas.openxmlformats.org/drawingml/2006/picture">
                <pic:pic>
                  <pic:nvPicPr>
                    <pic:cNvPr id="0" name="built_environment_overlay.png"/>
                    <pic:cNvPicPr/>
                  </pic:nvPicPr>
                  <pic:blipFill>
                    <a:blip r:embed="rId12"/>
                    <a:stretch>
                      <a:fillRect/>
                    </a:stretch>
                  </pic:blipFill>
                  <pic:spPr>
                    <a:xfrm>
                      <a:off x="0" y="0"/>
                      <a:ext cx="5652000" cy="4844571"/>
                    </a:xfrm>
                    <a:prstGeom prst="rect"/>
                  </pic:spPr>
                </pic:pic>
              </a:graphicData>
            </a:graphic>
          </wp:inline>
        </w:drawing>
      </w:r>
    </w:p>
    <w:p>
      <w:pPr>
        <w:spacing w:after="140"/>
        <w:jc w:val="center"/>
      </w:pPr>
      <w:r>
        <w:rPr>
          <w:rFonts w:ascii="Calibri" w:hAnsi="Calibri" w:eastAsia="Microsoft YaHei"/>
          <w:b w:val="0"/>
          <w:color w:val="5F6B76"/>
          <w:sz w:val="17"/>
        </w:rPr>
        <w:t>图1  地形、水体与城市功能区在统一1 km网格上的多模态叠加</w:t>
      </w:r>
    </w:p>
    <w:p>
      <w:pPr>
        <w:pStyle w:val="Heading1"/>
        <w:keepNext/>
      </w:pPr>
      <w:r>
        <w:t>3  核心目标：多模态电网潮流计算</w:t>
      </w:r>
    </w:p>
    <w:p>
      <w:pPr>
        <w:jc w:val="both"/>
      </w:pPr>
      <w:r>
        <w:rPr>
          <w:rFonts w:ascii="Calibri" w:hAnsi="Calibri" w:eastAsia="Microsoft YaHei"/>
          <w:b w:val="0"/>
          <w:color w:val="20252B"/>
          <w:sz w:val="21"/>
        </w:rPr>
        <w:t>系统目标是从环境、天气、源荷和拓扑共同描述的运行场景出发，计算或预测节点电压与线路潮流。每个时刻的输入由电网图、设备参数、节点注入以及可选环境模态组成；高可信标签由成熟AC潮流求解器给出，DC潮流保留为线性近似、快速基线和误差对照。</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417"/>
            <w:vAlign w:val="center"/>
            <w:shd w:fill="EAF3F9"/>
            <w:tcMar>
              <w:top w:w="80" w:type="dxa"/>
              <w:start w:w="110" w:type="dxa"/>
              <w:bottom w:w="80" w:type="dxa"/>
              <w:end w:w="110" w:type="dxa"/>
            </w:tcMar>
          </w:tcPr>
          <w:p>
            <w:pPr>
              <w:jc w:val="center"/>
            </w:pPr>
            <w:r>
              <w:rPr>
                <w:rFonts w:ascii="Calibri" w:hAnsi="Calibri" w:eastAsia="Microsoft YaHei"/>
                <w:b/>
                <w:color w:val="2E74B5"/>
                <w:sz w:val="17"/>
              </w:rPr>
              <w:t>预测对象</w:t>
            </w:r>
          </w:p>
        </w:tc>
        <w:tc>
          <w:tcPr>
            <w:tcW w:type="dxa" w:w="2948"/>
            <w:vAlign w:val="center"/>
            <w:shd w:fill="EAF3F9"/>
            <w:tcMar>
              <w:top w:w="80" w:type="dxa"/>
              <w:start w:w="110" w:type="dxa"/>
              <w:bottom w:w="80" w:type="dxa"/>
              <w:end w:w="110" w:type="dxa"/>
            </w:tcMar>
          </w:tcPr>
          <w:p>
            <w:pPr>
              <w:jc w:val="center"/>
            </w:pPr>
            <w:r>
              <w:rPr>
                <w:rFonts w:ascii="Calibri" w:hAnsi="Calibri" w:eastAsia="Microsoft YaHei"/>
                <w:b/>
                <w:color w:val="2E74B5"/>
                <w:sz w:val="17"/>
              </w:rPr>
              <w:t>主要输入</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7"/>
              </w:rPr>
              <w:t>目标状态</w:t>
            </w:r>
          </w:p>
        </w:tc>
        <w:tc>
          <w:tcPr>
            <w:tcW w:type="dxa" w:w="2438"/>
            <w:vAlign w:val="center"/>
            <w:shd w:fill="EAF3F9"/>
            <w:tcMar>
              <w:top w:w="80" w:type="dxa"/>
              <w:start w:w="110" w:type="dxa"/>
              <w:bottom w:w="80" w:type="dxa"/>
              <w:end w:w="110" w:type="dxa"/>
            </w:tcMar>
          </w:tcPr>
          <w:p>
            <w:pPr>
              <w:jc w:val="center"/>
            </w:pPr>
            <w:r>
              <w:rPr>
                <w:rFonts w:ascii="Calibri" w:hAnsi="Calibri" w:eastAsia="Microsoft YaHei"/>
                <w:b/>
                <w:color w:val="2E74B5"/>
                <w:sz w:val="17"/>
              </w:rPr>
              <w:t>评价维度</w:t>
            </w:r>
          </w:p>
        </w:tc>
      </w:tr>
      <w:tr>
        <w:tc>
          <w:tcPr>
            <w:tcW w:type="dxa" w:w="1417"/>
            <w:vAlign w:val="center"/>
            <w:tcMar>
              <w:top w:w="80" w:type="dxa"/>
              <w:start w:w="110" w:type="dxa"/>
              <w:bottom w:w="80" w:type="dxa"/>
              <w:end w:w="110" w:type="dxa"/>
            </w:tcMar>
          </w:tcPr>
          <w:p>
            <w:pPr>
              <w:jc w:val="left"/>
            </w:pPr>
            <w:r>
              <w:rPr>
                <w:rFonts w:ascii="Calibri" w:hAnsi="Calibri" w:eastAsia="Microsoft YaHei"/>
                <w:b w:val="0"/>
                <w:color w:val="20252B"/>
                <w:sz w:val="17"/>
              </w:rPr>
              <w:t>节点</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7"/>
              </w:rPr>
              <w:t>P/Q注入、节点类型、电压设定、环境与天气上下文</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7"/>
              </w:rPr>
              <w:t>电压幅值|V|、相角θ、可行性</w:t>
            </w:r>
          </w:p>
        </w:tc>
        <w:tc>
          <w:tcPr>
            <w:tcW w:type="dxa" w:w="2438"/>
            <w:vAlign w:val="center"/>
            <w:tcMar>
              <w:top w:w="80" w:type="dxa"/>
              <w:start w:w="110" w:type="dxa"/>
              <w:bottom w:w="80" w:type="dxa"/>
              <w:end w:w="110" w:type="dxa"/>
            </w:tcMar>
          </w:tcPr>
          <w:p>
            <w:pPr>
              <w:jc w:val="left"/>
            </w:pPr>
            <w:r>
              <w:rPr>
                <w:rFonts w:ascii="Calibri" w:hAnsi="Calibri" w:eastAsia="Microsoft YaHei"/>
                <w:b w:val="0"/>
                <w:color w:val="20252B"/>
                <w:sz w:val="17"/>
              </w:rPr>
              <w:t>MAE/RMSE、最大节点平衡残差</w:t>
            </w:r>
          </w:p>
        </w:tc>
      </w:tr>
      <w:tr>
        <w:tc>
          <w:tcPr>
            <w:tcW w:type="dxa" w:w="1417"/>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线路</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端点、R/X/B、变比、容量和状态</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Pij/Qij、视在功率和负载率</w:t>
            </w:r>
          </w:p>
        </w:tc>
        <w:tc>
          <w:tcPr>
            <w:tcW w:type="dxa" w:w="2438"/>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潮流误差、容量违规识别、方向一致率</w:t>
            </w:r>
          </w:p>
        </w:tc>
      </w:tr>
      <w:tr>
        <w:tc>
          <w:tcPr>
            <w:tcW w:type="dxa" w:w="1417"/>
            <w:vAlign w:val="center"/>
            <w:tcMar>
              <w:top w:w="80" w:type="dxa"/>
              <w:start w:w="110" w:type="dxa"/>
              <w:bottom w:w="80" w:type="dxa"/>
              <w:end w:w="110" w:type="dxa"/>
            </w:tcMar>
          </w:tcPr>
          <w:p>
            <w:pPr>
              <w:jc w:val="left"/>
            </w:pPr>
            <w:r>
              <w:rPr>
                <w:rFonts w:ascii="Calibri" w:hAnsi="Calibri" w:eastAsia="Microsoft YaHei"/>
                <w:b w:val="0"/>
                <w:color w:val="20252B"/>
                <w:sz w:val="17"/>
              </w:rPr>
              <w:t>系统</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7"/>
              </w:rPr>
              <w:t>完整拓扑与运行场景</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7"/>
              </w:rPr>
              <w:t>收敛状态、总损耗、失负荷和弃电</w:t>
            </w:r>
          </w:p>
        </w:tc>
        <w:tc>
          <w:tcPr>
            <w:tcW w:type="dxa" w:w="2438"/>
            <w:vAlign w:val="center"/>
            <w:tcMar>
              <w:top w:w="80" w:type="dxa"/>
              <w:start w:w="110" w:type="dxa"/>
              <w:bottom w:w="80" w:type="dxa"/>
              <w:end w:w="110" w:type="dxa"/>
            </w:tcMar>
          </w:tcPr>
          <w:p>
            <w:pPr>
              <w:jc w:val="left"/>
            </w:pPr>
            <w:r>
              <w:rPr>
                <w:rFonts w:ascii="Calibri" w:hAnsi="Calibri" w:eastAsia="Microsoft YaHei"/>
                <w:b w:val="0"/>
                <w:color w:val="20252B"/>
                <w:sz w:val="17"/>
              </w:rPr>
              <w:t>可行率、约束违规率和推理时间</w:t>
            </w:r>
          </w:p>
        </w:tc>
      </w:tr>
    </w:tbl>
    <w:p>
      <w:pPr>
        <w:spacing w:after="20"/>
      </w:pPr>
    </w:p>
    <w:tbl>
      <w:tblPr>
        <w:tblW w:type="auto" w:w="0"/>
        <w:jc w:val="center"/>
        <w:tblLook w:firstColumn="1" w:firstRow="1" w:lastColumn="0" w:lastRow="0" w:noHBand="0" w:noVBand="1" w:val="04A0"/>
      </w:tblPr>
      <w:tblGrid>
        <w:gridCol w:w="9354"/>
      </w:tblGrid>
      <w:tr>
        <w:tc>
          <w:tcPr>
            <w:tcW w:type="dxa" w:w="9354"/>
            <w:shd w:fill="FBF2E2"/>
            <w:tcMar>
              <w:top w:w="130" w:type="dxa"/>
              <w:start w:w="160" w:type="dxa"/>
              <w:bottom w:w="130" w:type="dxa"/>
              <w:end w:w="160" w:type="dxa"/>
            </w:tcMar>
          </w:tcPr>
          <w:p>
            <w:r>
              <w:rPr>
                <w:rFonts w:ascii="Calibri" w:hAnsi="Calibri" w:eastAsia="Microsoft YaHei"/>
                <w:b/>
                <w:color w:val="D99A35"/>
                <w:sz w:val="21"/>
              </w:rPr>
              <w:t>当前状态</w:t>
              <w:br/>
            </w:r>
            <w:r>
              <w:rPr>
                <w:rFonts w:ascii="Calibri" w:hAnsi="Calibri" w:eastAsia="Microsoft YaHei"/>
                <w:b w:val="0"/>
                <w:color w:val="20252B"/>
                <w:sz w:val="20"/>
              </w:rPr>
              <w:t>现有程序已经形成DC潮流和多时段运行原型。接入AC潮流求解器后，可同时保留AC高可信标签与DC近似标签，研究不同网络条件下的精度、速度和适用边界。</w:t>
            </w:r>
          </w:p>
        </w:tc>
      </w:tr>
    </w:tbl>
    <w:p>
      <w:pPr>
        <w:spacing w:after="20"/>
      </w:pPr>
    </w:p>
    <w:p>
      <w:pPr>
        <w:pStyle w:val="Heading1"/>
        <w:keepNext/>
      </w:pPr>
      <w:r>
        <w:t>4  可进一步形成的研究任务</w:t>
      </w:r>
    </w:p>
    <w:p>
      <w:pPr>
        <w:pStyle w:val="ListBullet"/>
        <w:ind w:left="312" w:hanging="142"/>
      </w:pPr>
      <w:r>
        <w:rPr>
          <w:rFonts w:ascii="Calibri" w:hAnsi="Calibri" w:eastAsia="Microsoft YaHei"/>
          <w:b w:val="0"/>
          <w:color w:val="20252B"/>
          <w:sz w:val="20"/>
        </w:rPr>
        <w:t>源荷预测：利用过去24小时天气和运行量预测未来24小时负荷、发电与线路负载。</w:t>
      </w:r>
    </w:p>
    <w:p>
      <w:pPr>
        <w:pStyle w:val="ListBullet"/>
        <w:ind w:left="312" w:hanging="142"/>
      </w:pPr>
      <w:r>
        <w:rPr>
          <w:rFonts w:ascii="Calibri" w:hAnsi="Calibri" w:eastAsia="Microsoft YaHei"/>
          <w:b w:val="0"/>
          <w:color w:val="20252B"/>
          <w:sz w:val="20"/>
        </w:rPr>
        <w:t>不完备模态：研究天气、节点观测或静态环境通道存在不同比例缺失时的稳健计算。</w:t>
      </w:r>
    </w:p>
    <w:p>
      <w:pPr>
        <w:pStyle w:val="ListBullet"/>
        <w:ind w:left="312" w:hanging="142"/>
      </w:pPr>
      <w:r>
        <w:rPr>
          <w:rFonts w:ascii="Calibri" w:hAnsi="Calibri" w:eastAsia="Microsoft YaHei"/>
          <w:b w:val="0"/>
          <w:color w:val="20252B"/>
          <w:sz w:val="20"/>
        </w:rPr>
        <w:t>跨世界泛化：比较不同地图尺度、气候、城市密度和能源结构下的泛化能力。</w:t>
      </w:r>
    </w:p>
    <w:p>
      <w:pPr>
        <w:pStyle w:val="ListBullet"/>
        <w:ind w:left="312" w:hanging="142"/>
      </w:pPr>
      <w:r>
        <w:rPr>
          <w:rFonts w:ascii="Calibri" w:hAnsi="Calibri" w:eastAsia="Microsoft YaHei"/>
          <w:b w:val="0"/>
          <w:color w:val="20252B"/>
          <w:sz w:val="20"/>
        </w:rPr>
        <w:t>安全评估：研究N-1故障后的潮流收敛、设备越限和失负荷规模。</w:t>
      </w:r>
    </w:p>
    <w:p>
      <w:pPr>
        <w:pStyle w:val="ListBullet"/>
        <w:ind w:left="312" w:hanging="142"/>
      </w:pPr>
      <w:r>
        <w:rPr>
          <w:rFonts w:ascii="Calibri" w:hAnsi="Calibri" w:eastAsia="Microsoft YaHei"/>
          <w:b w:val="0"/>
          <w:color w:val="20252B"/>
          <w:sz w:val="20"/>
        </w:rPr>
        <w:t>网络规划：在成本、风险和可靠性约束下分析新增线路、容量调整或储能位置。</w:t>
      </w:r>
    </w:p>
    <w:p>
      <w:pPr>
        <w:pStyle w:val="Heading1"/>
        <w:keepNext/>
      </w:pPr>
      <w:r>
        <w:t>5  公开数据现状</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701"/>
            <w:vAlign w:val="center"/>
            <w:shd w:fill="EAF3F9"/>
            <w:tcMar>
              <w:top w:w="80" w:type="dxa"/>
              <w:start w:w="110" w:type="dxa"/>
              <w:bottom w:w="80" w:type="dxa"/>
              <w:end w:w="110" w:type="dxa"/>
            </w:tcMar>
          </w:tcPr>
          <w:p>
            <w:pPr>
              <w:jc w:val="center"/>
            </w:pPr>
            <w:r>
              <w:rPr>
                <w:rFonts w:ascii="Calibri" w:hAnsi="Calibri" w:eastAsia="Microsoft YaHei"/>
                <w:b/>
                <w:color w:val="2E74B5"/>
                <w:sz w:val="15"/>
              </w:rPr>
              <w:t>资源</w:t>
            </w:r>
          </w:p>
        </w:tc>
        <w:tc>
          <w:tcPr>
            <w:tcW w:type="dxa" w:w="2891"/>
            <w:vAlign w:val="center"/>
            <w:shd w:fill="EAF3F9"/>
            <w:tcMar>
              <w:top w:w="80" w:type="dxa"/>
              <w:start w:w="110" w:type="dxa"/>
              <w:bottom w:w="80" w:type="dxa"/>
              <w:end w:w="110" w:type="dxa"/>
            </w:tcMar>
          </w:tcPr>
          <w:p>
            <w:pPr>
              <w:jc w:val="center"/>
            </w:pPr>
            <w:r>
              <w:rPr>
                <w:rFonts w:ascii="Calibri" w:hAnsi="Calibri" w:eastAsia="Microsoft YaHei"/>
                <w:b/>
                <w:color w:val="2E74B5"/>
                <w:sz w:val="15"/>
              </w:rPr>
              <w:t>提供内容</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5"/>
              </w:rPr>
              <w:t>本项目中的作用</w:t>
            </w:r>
          </w:p>
        </w:tc>
        <w:tc>
          <w:tcPr>
            <w:tcW w:type="dxa" w:w="2381"/>
            <w:vAlign w:val="center"/>
            <w:shd w:fill="EAF3F9"/>
            <w:tcMar>
              <w:top w:w="80" w:type="dxa"/>
              <w:start w:w="110" w:type="dxa"/>
              <w:bottom w:w="80" w:type="dxa"/>
              <w:end w:w="110" w:type="dxa"/>
            </w:tcMar>
          </w:tcPr>
          <w:p>
            <w:pPr>
              <w:jc w:val="center"/>
            </w:pPr>
            <w:r>
              <w:rPr>
                <w:rFonts w:ascii="Calibri" w:hAnsi="Calibri" w:eastAsia="Microsoft YaHei"/>
                <w:b/>
                <w:color w:val="2E74B5"/>
                <w:sz w:val="15"/>
              </w:rPr>
              <w:t>主要缺口</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MATPOWER / IEEE cases</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母线、发电机、支路参数；AC/DC PF与OPF参考实现</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校准电气参数、验证潮流求解结果</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缺少地形、天气、城市与长期运行过程</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PGLib-OPF</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经整理的AC-OPF算例、重载和相角约束变体、参考结果</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OPF可行性、求解器一致性和规模测试</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以静态算例为主，不含多模态地理环境</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PowerGraph</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PF、OPF、级联故障的节点/图级任务与解释标签</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对照节点预测、图预测和可解释性协议</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环境模态和跨世界生成控制有限</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PSML</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负荷、可再生能源、天气、电压、电流及动态扰动</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校准动态统计、扰动任务和预测协议</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空间环境与城市形成过程不是主要对象</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Grid2Op / L2RPN</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顺序运行场景、拓扑动作、故障与安全约束</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参考网络重构、N-1和运行决策任务</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重点是控制环境，不提供完整地理生成链</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SDWPF</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134台风机位置、SCADA、功率、设备状态及扩展天气</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校准风速—功率关系、空间相关与缺失模式</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单一风电场，不含负荷和输电拓扑</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ERA5 / ERA5-Land</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风、温湿度、气压、云、降水、辐射等小时场</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天气统计、时空相关和极端事件校准</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空间分辨率通常粗于1 km，需要降尺度</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NREL WIND Toolkit</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多高度气象、风机功率和多预测时距数据</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风资源、功率曲线及预测误差校准</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主要覆盖美国且体量较大</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5"/>
              </w:rPr>
              <w:t>NSRDB / PVWatts</w:t>
            </w:r>
          </w:p>
        </w:tc>
        <w:tc>
          <w:tcPr>
            <w:tcW w:type="dxa" w:w="2891"/>
            <w:vAlign w:val="center"/>
            <w:tcMar>
              <w:top w:w="80" w:type="dxa"/>
              <w:start w:w="110" w:type="dxa"/>
              <w:bottom w:w="80" w:type="dxa"/>
              <w:end w:w="110" w:type="dxa"/>
            </w:tcMar>
          </w:tcPr>
          <w:p>
            <w:pPr>
              <w:jc w:val="left"/>
            </w:pPr>
            <w:r>
              <w:rPr>
                <w:rFonts w:ascii="Calibri" w:hAnsi="Calibri" w:eastAsia="Microsoft YaHei"/>
                <w:b w:val="0"/>
                <w:color w:val="20252B"/>
                <w:sz w:val="15"/>
              </w:rPr>
              <w:t>辐照度、气象与光伏发电估算模型</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校准辐照—温度—光伏功率转换</w:t>
            </w:r>
          </w:p>
        </w:tc>
        <w:tc>
          <w:tcPr>
            <w:tcW w:type="dxa" w:w="2381"/>
            <w:vAlign w:val="center"/>
            <w:tcMar>
              <w:top w:w="80" w:type="dxa"/>
              <w:start w:w="110" w:type="dxa"/>
              <w:bottom w:w="80" w:type="dxa"/>
              <w:end w:w="110" w:type="dxa"/>
            </w:tcMar>
          </w:tcPr>
          <w:p>
            <w:pPr>
              <w:jc w:val="left"/>
            </w:pPr>
            <w:r>
              <w:rPr>
                <w:rFonts w:ascii="Calibri" w:hAnsi="Calibri" w:eastAsia="Microsoft YaHei"/>
                <w:b w:val="0"/>
                <w:color w:val="20252B"/>
                <w:sz w:val="15"/>
              </w:rPr>
              <w:t>不包含完整源荷网络</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Open Power System Data</w:t>
            </w:r>
          </w:p>
        </w:tc>
        <w:tc>
          <w:tcPr>
            <w:tcW w:type="dxa" w:w="289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负荷、风光出力、装机、价格与天气整理结果</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负荷与可再生能源统计校准</w:t>
            </w:r>
          </w:p>
        </w:tc>
        <w:tc>
          <w:tcPr>
            <w:tcW w:type="dxa" w:w="238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详细线路参数和统一地理关系有限</w:t>
            </w:r>
          </w:p>
        </w:tc>
      </w:tr>
    </w:tbl>
    <w:p>
      <w:pPr>
        <w:spacing w:after="20"/>
      </w:pPr>
    </w:p>
    <w:tbl>
      <w:tblPr>
        <w:tblW w:type="auto" w:w="0"/>
        <w:jc w:val="center"/>
        <w:tblLook w:firstColumn="1" w:firstRow="1" w:lastColumn="0" w:lastRow="0" w:noHBand="0" w:noVBand="1" w:val="04A0"/>
      </w:tblPr>
      <w:tblGrid>
        <w:gridCol w:w="9354"/>
      </w:tblGrid>
      <w:tr>
        <w:tc>
          <w:tcPr>
            <w:tcW w:type="dxa" w:w="9354"/>
            <w:shd w:fill="E8F5F4"/>
            <w:tcMar>
              <w:top w:w="130" w:type="dxa"/>
              <w:start w:w="160" w:type="dxa"/>
              <w:bottom w:w="130" w:type="dxa"/>
              <w:end w:w="160" w:type="dxa"/>
            </w:tcMar>
          </w:tcPr>
          <w:p>
            <w:r>
              <w:rPr>
                <w:rFonts w:ascii="Calibri" w:hAnsi="Calibri" w:eastAsia="Microsoft YaHei"/>
                <w:b/>
                <w:color w:val="2A9D8F"/>
                <w:sz w:val="21"/>
              </w:rPr>
              <w:t>现状判断</w:t>
              <w:br/>
            </w:r>
            <w:r>
              <w:rPr>
                <w:rFonts w:ascii="Calibri" w:hAnsi="Calibri" w:eastAsia="Microsoft YaHei"/>
                <w:b w:val="0"/>
                <w:color w:val="20252B"/>
                <w:sz w:val="20"/>
              </w:rPr>
              <w:t>已有数据足以分别校准电网、天气、风光和负荷模块，但尚未发现能够直接提供全部模态且允许大规模跨拓扑潮流测试的数据。适合当前项目的总体路线是“真实数据校准 + 解析场景生成 + AC求解器标签”。</w:t>
            </w:r>
          </w:p>
        </w:tc>
      </w:tr>
    </w:tbl>
    <w:p>
      <w:pPr>
        <w:spacing w:after="20"/>
      </w:pPr>
    </w:p>
    <w:p>
      <w:pPr>
        <w:pStyle w:val="Heading1"/>
        <w:keepNext/>
      </w:pPr>
      <w:r>
        <w:t>6  解析建模主线</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c>
          <w:tcPr>
            <w:tcW w:type="dxa" w:w="1304"/>
            <w:vAlign w:val="center"/>
            <w:shd w:fill="EAF3F9"/>
            <w:tcMar>
              <w:top w:w="80" w:type="dxa"/>
              <w:start w:w="110" w:type="dxa"/>
              <w:bottom w:w="80" w:type="dxa"/>
              <w:end w:w="110" w:type="dxa"/>
            </w:tcMar>
          </w:tcPr>
          <w:p>
            <w:pPr>
              <w:jc w:val="center"/>
            </w:pPr>
            <w:r>
              <w:rPr>
                <w:rFonts w:ascii="Calibri" w:hAnsi="Calibri" w:eastAsia="Microsoft YaHei"/>
                <w:b/>
                <w:color w:val="2E74B5"/>
                <w:sz w:val="16"/>
              </w:rPr>
              <w:t>阶段</w:t>
            </w:r>
          </w:p>
        </w:tc>
        <w:tc>
          <w:tcPr>
            <w:tcW w:type="dxa" w:w="2948"/>
            <w:vAlign w:val="center"/>
            <w:shd w:fill="EAF3F9"/>
            <w:tcMar>
              <w:top w:w="80" w:type="dxa"/>
              <w:start w:w="110" w:type="dxa"/>
              <w:bottom w:w="80" w:type="dxa"/>
              <w:end w:w="110" w:type="dxa"/>
            </w:tcMar>
          </w:tcPr>
          <w:p>
            <w:pPr>
              <w:jc w:val="center"/>
            </w:pPr>
            <w:r>
              <w:rPr>
                <w:rFonts w:ascii="Calibri" w:hAnsi="Calibri" w:eastAsia="Microsoft YaHei"/>
                <w:b/>
                <w:color w:val="2E74B5"/>
                <w:sz w:val="16"/>
              </w:rPr>
              <w:t>可采用的解析模型</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6"/>
              </w:rPr>
              <w:t>关键中间量</w:t>
            </w:r>
          </w:p>
        </w:tc>
        <w:tc>
          <w:tcPr>
            <w:tcW w:type="dxa" w:w="2551"/>
            <w:vAlign w:val="center"/>
            <w:shd w:fill="EAF3F9"/>
            <w:tcMar>
              <w:top w:w="80" w:type="dxa"/>
              <w:start w:w="110" w:type="dxa"/>
              <w:bottom w:w="80" w:type="dxa"/>
              <w:end w:w="110" w:type="dxa"/>
            </w:tcMar>
          </w:tcPr>
          <w:p>
            <w:pPr>
              <w:jc w:val="center"/>
            </w:pPr>
            <w:r>
              <w:rPr>
                <w:rFonts w:ascii="Calibri" w:hAnsi="Calibri" w:eastAsia="Microsoft YaHei"/>
                <w:b/>
                <w:color w:val="2E74B5"/>
                <w:sz w:val="16"/>
              </w:rPr>
              <w:t>合理性观察</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地形</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坐标稳定多尺度随机场与侵蚀过程</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高程、坡度、曲率、粗糙度</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尺度谱、半变异函数、分布和无缝拼接</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水文</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Priority-Flood、D8/D∞和汇流累积</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流向、汇水、河网、流域、湖泊</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连通率、排水密度、级次和面积分布</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天气</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平流—扩散—源汇过程与地形抬升</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风、温湿度、云、雨和辐照</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时空自相关、云雨条件概率和极值</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城市</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GIS适宜度、多中心/引力和约束CA</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中心、人口、城市半径和功能区</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规模等级、紧凑度、坡度和水体暴露</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源荷</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负荷强度、风机曲线和PVWatts链</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负荷、可用出力和计划出力</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容量因子、峰谷比、爬坡和天气响应</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拓扑</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候选图、MST/Steiner近似、回路与A*</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节点、支路、路径和参数</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连通、度分布、总长、可靠性和成本</w:t>
            </w:r>
          </w:p>
        </w:tc>
      </w:tr>
      <w:tr>
        <w:tc>
          <w:tcPr>
            <w:tcW w:type="dxa" w:w="1304"/>
            <w:vAlign w:val="center"/>
            <w:tcMar>
              <w:top w:w="80" w:type="dxa"/>
              <w:start w:w="110" w:type="dxa"/>
              <w:bottom w:w="80" w:type="dxa"/>
              <w:end w:w="110" w:type="dxa"/>
            </w:tcMar>
          </w:tcPr>
          <w:p>
            <w:pPr>
              <w:jc w:val="left"/>
            </w:pPr>
            <w:r>
              <w:rPr>
                <w:rFonts w:ascii="Calibri" w:hAnsi="Calibri" w:eastAsia="Microsoft YaHei"/>
                <w:b w:val="0"/>
                <w:color w:val="20252B"/>
                <w:sz w:val="16"/>
              </w:rPr>
              <w:t>潮流</w:t>
            </w:r>
          </w:p>
        </w:tc>
        <w:tc>
          <w:tcPr>
            <w:tcW w:type="dxa" w:w="2948"/>
            <w:vAlign w:val="center"/>
            <w:tcMar>
              <w:top w:w="80" w:type="dxa"/>
              <w:start w:w="110" w:type="dxa"/>
              <w:bottom w:w="80" w:type="dxa"/>
              <w:end w:w="110" w:type="dxa"/>
            </w:tcMar>
          </w:tcPr>
          <w:p>
            <w:pPr>
              <w:jc w:val="left"/>
            </w:pPr>
            <w:r>
              <w:rPr>
                <w:rFonts w:ascii="Calibri" w:hAnsi="Calibri" w:eastAsia="Microsoft YaHei"/>
                <w:b w:val="0"/>
                <w:color w:val="20252B"/>
                <w:sz w:val="16"/>
              </w:rPr>
              <w:t>AC牛顿—拉夫逊与DC线性近似</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V、θ、P/Q支路潮流和损耗</w:t>
            </w:r>
          </w:p>
        </w:tc>
        <w:tc>
          <w:tcPr>
            <w:tcW w:type="dxa" w:w="2551"/>
            <w:vAlign w:val="center"/>
            <w:tcMar>
              <w:top w:w="80" w:type="dxa"/>
              <w:start w:w="110" w:type="dxa"/>
              <w:bottom w:w="80" w:type="dxa"/>
              <w:end w:w="110" w:type="dxa"/>
            </w:tcMar>
          </w:tcPr>
          <w:p>
            <w:pPr>
              <w:jc w:val="left"/>
            </w:pPr>
            <w:r>
              <w:rPr>
                <w:rFonts w:ascii="Calibri" w:hAnsi="Calibri" w:eastAsia="Microsoft YaHei"/>
                <w:b w:val="0"/>
                <w:color w:val="20252B"/>
                <w:sz w:val="16"/>
              </w:rPr>
              <w:t>标准算例误差、收敛率和约束残差</w:t>
            </w:r>
          </w:p>
        </w:tc>
      </w:tr>
      <w:tr>
        <w:tc>
          <w:tcPr>
            <w:tcW w:type="dxa" w:w="1304"/>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储能</w:t>
            </w:r>
          </w:p>
        </w:tc>
        <w:tc>
          <w:tcPr>
            <w:tcW w:type="dxa" w:w="2948"/>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多时段LP/MILP与SOC状态方程</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功率、能量、SOC和成本</w:t>
            </w:r>
          </w:p>
        </w:tc>
        <w:tc>
          <w:tcPr>
            <w:tcW w:type="dxa" w:w="2551"/>
            <w:vAlign w:val="center"/>
            <w:tcMar>
              <w:top w:w="80" w:type="dxa"/>
              <w:start w:w="110" w:type="dxa"/>
              <w:bottom w:w="80" w:type="dxa"/>
              <w:end w:w="110" w:type="dxa"/>
            </w:tcMar>
            <w:shd w:fill="F2F4F7"/>
          </w:tcPr>
          <w:p>
            <w:pPr>
              <w:jc w:val="left"/>
            </w:pPr>
            <w:r>
              <w:rPr>
                <w:rFonts w:ascii="Calibri" w:hAnsi="Calibri" w:eastAsia="Microsoft YaHei"/>
                <w:b w:val="0"/>
                <w:color w:val="20252B"/>
                <w:sz w:val="16"/>
              </w:rPr>
              <w:t>边界可行、循环一致、拥塞和缺电改善</w:t>
            </w:r>
          </w:p>
        </w:tc>
      </w:tr>
    </w:tbl>
    <w:p>
      <w:pPr>
        <w:spacing w:after="20"/>
      </w:pPr>
    </w:p>
    <w:p>
      <w:pPr>
        <w:keepLines/>
        <w:jc w:val="center"/>
      </w:pPr>
      <w:r>
        <w:drawing>
          <wp:inline xmlns:a="http://schemas.openxmlformats.org/drawingml/2006/main" xmlns:pic="http://schemas.openxmlformats.org/drawingml/2006/picture">
            <wp:extent cx="5652000" cy="4521600"/>
            <wp:docPr id="3" name="Picture 3"/>
            <wp:cNvGraphicFramePr>
              <a:graphicFrameLocks noChangeAspect="1"/>
            </wp:cNvGraphicFramePr>
            <a:graphic>
              <a:graphicData uri="http://schemas.openxmlformats.org/drawingml/2006/picture">
                <pic:pic>
                  <pic:nvPicPr>
                    <pic:cNvPr id="0" name="hydrology_overview.png"/>
                    <pic:cNvPicPr/>
                  </pic:nvPicPr>
                  <pic:blipFill>
                    <a:blip r:embed="rId13"/>
                    <a:stretch>
                      <a:fillRect/>
                    </a:stretch>
                  </pic:blipFill>
                  <pic:spPr>
                    <a:xfrm>
                      <a:off x="0" y="0"/>
                      <a:ext cx="5652000" cy="4521600"/>
                    </a:xfrm>
                    <a:prstGeom prst="rect"/>
                  </pic:spPr>
                </pic:pic>
              </a:graphicData>
            </a:graphic>
          </wp:inline>
        </w:drawing>
      </w:r>
    </w:p>
    <w:p>
      <w:pPr>
        <w:spacing w:after="140"/>
        <w:jc w:val="center"/>
      </w:pPr>
      <w:r>
        <w:rPr>
          <w:rFonts w:ascii="Calibri" w:hAnsi="Calibri" w:eastAsia="Microsoft YaHei"/>
          <w:b w:val="0"/>
          <w:color w:val="5F6B76"/>
          <w:sz w:val="17"/>
        </w:rPr>
        <w:t>图2  地形条件化水文：高程、汇流、河湖与泛洪风险</w:t>
      </w:r>
    </w:p>
    <w:p>
      <w:pPr>
        <w:keepLines/>
        <w:jc w:val="center"/>
      </w:pPr>
      <w:r>
        <w:drawing>
          <wp:inline xmlns:a="http://schemas.openxmlformats.org/drawingml/2006/main" xmlns:pic="http://schemas.openxmlformats.org/drawingml/2006/picture">
            <wp:extent cx="5652000" cy="3478154"/>
            <wp:docPr id="4" name="Picture 4"/>
            <wp:cNvGraphicFramePr>
              <a:graphicFrameLocks noChangeAspect="1"/>
            </wp:cNvGraphicFramePr>
            <a:graphic>
              <a:graphicData uri="http://schemas.openxmlformats.org/drawingml/2006/picture">
                <pic:pic>
                  <pic:nvPicPr>
                    <pic:cNvPr id="0" name="climate_overview.png"/>
                    <pic:cNvPicPr/>
                  </pic:nvPicPr>
                  <pic:blipFill>
                    <a:blip r:embed="rId14"/>
                    <a:stretch>
                      <a:fillRect/>
                    </a:stretch>
                  </pic:blipFill>
                  <pic:spPr>
                    <a:xfrm>
                      <a:off x="0" y="0"/>
                      <a:ext cx="5652000" cy="3478154"/>
                    </a:xfrm>
                    <a:prstGeom prst="rect"/>
                  </pic:spPr>
                </pic:pic>
              </a:graphicData>
            </a:graphic>
          </wp:inline>
        </w:drawing>
      </w:r>
    </w:p>
    <w:p>
      <w:pPr>
        <w:spacing w:after="140"/>
        <w:jc w:val="center"/>
      </w:pPr>
      <w:r>
        <w:rPr>
          <w:rFonts w:ascii="Calibri" w:hAnsi="Calibri" w:eastAsia="Microsoft YaHei"/>
          <w:b w:val="0"/>
          <w:color w:val="5F6B76"/>
          <w:sz w:val="17"/>
        </w:rPr>
        <w:t>图3  基础气候场：风、温度、湿度、云、降水和辐照度</w:t>
      </w:r>
    </w:p>
    <w:p>
      <w:pPr>
        <w:keepLines/>
        <w:jc w:val="center"/>
      </w:pPr>
      <w:r>
        <w:drawing>
          <wp:inline xmlns:a="http://schemas.openxmlformats.org/drawingml/2006/main" xmlns:pic="http://schemas.openxmlformats.org/drawingml/2006/picture">
            <wp:extent cx="5652000" cy="1997690"/>
            <wp:docPr id="5" name="Picture 5"/>
            <wp:cNvGraphicFramePr>
              <a:graphicFrameLocks noChangeAspect="1"/>
            </wp:cNvGraphicFramePr>
            <a:graphic>
              <a:graphicData uri="http://schemas.openxmlformats.org/drawingml/2006/picture">
                <pic:pic>
                  <pic:nvPicPr>
                    <pic:cNvPr id="0" name="weather_poster.png"/>
                    <pic:cNvPicPr/>
                  </pic:nvPicPr>
                  <pic:blipFill>
                    <a:blip r:embed="rId15"/>
                    <a:stretch>
                      <a:fillRect/>
                    </a:stretch>
                  </pic:blipFill>
                  <pic:spPr>
                    <a:xfrm>
                      <a:off x="0" y="0"/>
                      <a:ext cx="5652000" cy="1997690"/>
                    </a:xfrm>
                    <a:prstGeom prst="rect"/>
                  </pic:spPr>
                </pic:pic>
              </a:graphicData>
            </a:graphic>
          </wp:inline>
        </w:drawing>
      </w:r>
    </w:p>
    <w:p>
      <w:pPr>
        <w:spacing w:after="140"/>
        <w:jc w:val="center"/>
      </w:pPr>
      <w:r>
        <w:rPr>
          <w:rFonts w:ascii="Calibri" w:hAnsi="Calibri" w:eastAsia="Microsoft YaHei"/>
          <w:b w:val="0"/>
          <w:color w:val="5F6B76"/>
          <w:sz w:val="17"/>
        </w:rPr>
        <w:t>图4  小时级天气动态中间帧；完整动画位于media/hourly_weather_fields.webp</w:t>
      </w:r>
    </w:p>
    <w:p>
      <w:pPr>
        <w:pStyle w:val="Heading1"/>
        <w:keepNext/>
      </w:pPr>
      <w:r>
        <w:t>7  从城市源荷到电网潮流</w:t>
      </w:r>
    </w:p>
    <w:p>
      <w:pPr>
        <w:jc w:val="both"/>
      </w:pPr>
      <w:r>
        <w:rPr>
          <w:rFonts w:ascii="Calibri" w:hAnsi="Calibri" w:eastAsia="Microsoft YaHei"/>
          <w:b w:val="0"/>
          <w:color w:val="20252B"/>
          <w:sz w:val="21"/>
        </w:rPr>
        <w:t>人类活动层决定负荷的空间支撑，资源层决定风光候选，电网层在成本和可靠性约束下连接源荷，运行层再通过潮流和调度揭示瓶颈。各阶段保留可解释中间变量后，可以分别校准环境规律、设施规划规则和电气约束。</w:t>
      </w:r>
    </w:p>
    <w:p>
      <w:pPr>
        <w:keepLines/>
        <w:jc w:val="center"/>
      </w:pPr>
      <w:r>
        <w:drawing>
          <wp:inline xmlns:a="http://schemas.openxmlformats.org/drawingml/2006/main" xmlns:pic="http://schemas.openxmlformats.org/drawingml/2006/picture">
            <wp:extent cx="5652000" cy="4624364"/>
            <wp:docPr id="6" name="Picture 6"/>
            <wp:cNvGraphicFramePr>
              <a:graphicFrameLocks noChangeAspect="1"/>
            </wp:cNvGraphicFramePr>
            <a:graphic>
              <a:graphicData uri="http://schemas.openxmlformats.org/drawingml/2006/picture">
                <pic:pic>
                  <pic:nvPicPr>
                    <pic:cNvPr id="0" name="energy_candidate_overview.png"/>
                    <pic:cNvPicPr/>
                  </pic:nvPicPr>
                  <pic:blipFill>
                    <a:blip r:embed="rId16"/>
                    <a:stretch>
                      <a:fillRect/>
                    </a:stretch>
                  </pic:blipFill>
                  <pic:spPr>
                    <a:xfrm>
                      <a:off x="0" y="0"/>
                      <a:ext cx="5652000" cy="4624364"/>
                    </a:xfrm>
                    <a:prstGeom prst="rect"/>
                  </pic:spPr>
                </pic:pic>
              </a:graphicData>
            </a:graphic>
          </wp:inline>
        </w:drawing>
      </w:r>
    </w:p>
    <w:p>
      <w:pPr>
        <w:spacing w:after="140"/>
        <w:jc w:val="center"/>
      </w:pPr>
      <w:r>
        <w:rPr>
          <w:rFonts w:ascii="Calibri" w:hAnsi="Calibri" w:eastAsia="Microsoft YaHei"/>
          <w:b w:val="0"/>
          <w:color w:val="5F6B76"/>
          <w:sz w:val="17"/>
        </w:rPr>
        <w:t>图5  风电、光伏与负荷节点的适宜度及候选点</w:t>
      </w:r>
    </w:p>
    <w:p>
      <w:pPr>
        <w:keepLines/>
        <w:jc w:val="center"/>
      </w:pPr>
      <w:r>
        <w:drawing>
          <wp:inline xmlns:a="http://schemas.openxmlformats.org/drawingml/2006/main" xmlns:pic="http://schemas.openxmlformats.org/drawingml/2006/picture">
            <wp:extent cx="5652000" cy="4624364"/>
            <wp:docPr id="7" name="Picture 7"/>
            <wp:cNvGraphicFramePr>
              <a:graphicFrameLocks noChangeAspect="1"/>
            </wp:cNvGraphicFramePr>
            <a:graphic>
              <a:graphicData uri="http://schemas.openxmlformats.org/drawingml/2006/picture">
                <pic:pic>
                  <pic:nvPicPr>
                    <pic:cNvPr id="0" name="grid_topology_overview.png"/>
                    <pic:cNvPicPr/>
                  </pic:nvPicPr>
                  <pic:blipFill>
                    <a:blip r:embed="rId11"/>
                    <a:stretch>
                      <a:fillRect/>
                    </a:stretch>
                  </pic:blipFill>
                  <pic:spPr>
                    <a:xfrm>
                      <a:off x="0" y="0"/>
                      <a:ext cx="5652000" cy="4624364"/>
                    </a:xfrm>
                    <a:prstGeom prst="rect"/>
                  </pic:spPr>
                </pic:pic>
              </a:graphicData>
            </a:graphic>
          </wp:inline>
        </w:drawing>
      </w:r>
    </w:p>
    <w:p>
      <w:pPr>
        <w:spacing w:after="140"/>
        <w:jc w:val="center"/>
      </w:pPr>
      <w:r>
        <w:rPr>
          <w:rFonts w:ascii="Calibri" w:hAnsi="Calibri" w:eastAsia="Microsoft YaHei"/>
          <w:b w:val="0"/>
          <w:color w:val="5F6B76"/>
          <w:sz w:val="17"/>
        </w:rPr>
        <w:t>图6  电网拓扑、线路路径成本与节点连接</w:t>
      </w:r>
    </w:p>
    <w:p>
      <w:pPr>
        <w:keepLines/>
        <w:jc w:val="center"/>
      </w:pPr>
      <w:r>
        <w:drawing>
          <wp:inline xmlns:a="http://schemas.openxmlformats.org/drawingml/2006/main" xmlns:pic="http://schemas.openxmlformats.org/drawingml/2006/picture">
            <wp:extent cx="5652000" cy="1808640"/>
            <wp:docPr id="8" name="Picture 8"/>
            <wp:cNvGraphicFramePr>
              <a:graphicFrameLocks noChangeAspect="1"/>
            </wp:cNvGraphicFramePr>
            <a:graphic>
              <a:graphicData uri="http://schemas.openxmlformats.org/drawingml/2006/picture">
                <pic:pic>
                  <pic:nvPicPr>
                    <pic:cNvPr id="0" name="source_load_timeseries.png"/>
                    <pic:cNvPicPr/>
                  </pic:nvPicPr>
                  <pic:blipFill>
                    <a:blip r:embed="rId17"/>
                    <a:stretch>
                      <a:fillRect/>
                    </a:stretch>
                  </pic:blipFill>
                  <pic:spPr>
                    <a:xfrm>
                      <a:off x="0" y="0"/>
                      <a:ext cx="5652000" cy="1808640"/>
                    </a:xfrm>
                    <a:prstGeom prst="rect"/>
                  </pic:spPr>
                </pic:pic>
              </a:graphicData>
            </a:graphic>
          </wp:inline>
        </w:drawing>
      </w:r>
    </w:p>
    <w:p>
      <w:pPr>
        <w:spacing w:after="140"/>
        <w:jc w:val="center"/>
      </w:pPr>
      <w:r>
        <w:rPr>
          <w:rFonts w:ascii="Calibri" w:hAnsi="Calibri" w:eastAsia="Microsoft YaHei"/>
          <w:b w:val="0"/>
          <w:color w:val="5F6B76"/>
          <w:sz w:val="17"/>
        </w:rPr>
        <w:t>图7  一周源荷、常规电源容量与额外储能需求</w:t>
      </w:r>
    </w:p>
    <w:p>
      <w:pPr>
        <w:keepLines/>
        <w:jc w:val="center"/>
      </w:pPr>
      <w:r>
        <w:drawing>
          <wp:inline xmlns:a="http://schemas.openxmlformats.org/drawingml/2006/main" xmlns:pic="http://schemas.openxmlformats.org/drawingml/2006/picture">
            <wp:extent cx="5652000" cy="4867000"/>
            <wp:docPr id="9" name="Picture 9"/>
            <wp:cNvGraphicFramePr>
              <a:graphicFrameLocks noChangeAspect="1"/>
            </wp:cNvGraphicFramePr>
            <a:graphic>
              <a:graphicData uri="http://schemas.openxmlformats.org/drawingml/2006/picture">
                <pic:pic>
                  <pic:nvPicPr>
                    <pic:cNvPr id="0" name="line_poster.png"/>
                    <pic:cNvPicPr/>
                  </pic:nvPicPr>
                  <pic:blipFill>
                    <a:blip r:embed="rId18"/>
                    <a:stretch>
                      <a:fillRect/>
                    </a:stretch>
                  </pic:blipFill>
                  <pic:spPr>
                    <a:xfrm>
                      <a:off x="0" y="0"/>
                      <a:ext cx="5652000" cy="4867000"/>
                    </a:xfrm>
                    <a:prstGeom prst="rect"/>
                  </pic:spPr>
                </pic:pic>
              </a:graphicData>
            </a:graphic>
          </wp:inline>
        </w:drawing>
      </w:r>
    </w:p>
    <w:p>
      <w:pPr>
        <w:spacing w:after="140"/>
        <w:jc w:val="center"/>
      </w:pPr>
      <w:r>
        <w:rPr>
          <w:rFonts w:ascii="Calibri" w:hAnsi="Calibri" w:eastAsia="Microsoft YaHei"/>
          <w:b w:val="0"/>
          <w:color w:val="5F6B76"/>
          <w:sz w:val="17"/>
        </w:rPr>
        <w:t>图8  天气叠加下的线路负载动态中间帧；完整动画位于media/line_loading_dynamic_with_weather.webp</w:t>
      </w:r>
    </w:p>
    <w:p>
      <w:pPr>
        <w:pStyle w:val="Heading1"/>
        <w:keepNext/>
      </w:pPr>
      <w:r>
        <w:t>8  期望形成的系统能力</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shd w:fill="EAF3F9"/>
            <w:tcMar>
              <w:top w:w="80" w:type="dxa"/>
              <w:start w:w="110" w:type="dxa"/>
              <w:bottom w:w="80" w:type="dxa"/>
              <w:end w:w="110" w:type="dxa"/>
            </w:tcMar>
          </w:tcPr>
          <w:p>
            <w:pPr>
              <w:jc w:val="center"/>
            </w:pPr>
            <w:r>
              <w:rPr>
                <w:rFonts w:ascii="Calibri" w:hAnsi="Calibri" w:eastAsia="Microsoft YaHei"/>
                <w:b/>
                <w:color w:val="2E74B5"/>
                <w:sz w:val="17"/>
              </w:rPr>
              <w:t>能力</w:t>
            </w:r>
          </w:p>
        </w:tc>
        <w:tc>
          <w:tcPr>
            <w:tcW w:type="dxa" w:w="4535"/>
            <w:vAlign w:val="center"/>
            <w:shd w:fill="EAF3F9"/>
            <w:tcMar>
              <w:top w:w="80" w:type="dxa"/>
              <w:start w:w="110" w:type="dxa"/>
              <w:bottom w:w="80" w:type="dxa"/>
              <w:end w:w="110" w:type="dxa"/>
            </w:tcMar>
          </w:tcPr>
          <w:p>
            <w:pPr>
              <w:jc w:val="center"/>
            </w:pPr>
            <w:r>
              <w:rPr>
                <w:rFonts w:ascii="Calibri" w:hAnsi="Calibri" w:eastAsia="Microsoft YaHei"/>
                <w:b/>
                <w:color w:val="2E74B5"/>
                <w:sz w:val="17"/>
              </w:rPr>
              <w:t>期望状态</w:t>
            </w:r>
          </w:p>
        </w:tc>
        <w:tc>
          <w:tcPr>
            <w:tcW w:type="dxa" w:w="3685"/>
            <w:vAlign w:val="center"/>
            <w:shd w:fill="EAF3F9"/>
            <w:tcMar>
              <w:top w:w="80" w:type="dxa"/>
              <w:start w:w="110" w:type="dxa"/>
              <w:bottom w:w="80" w:type="dxa"/>
              <w:end w:w="110" w:type="dxa"/>
            </w:tcMar>
          </w:tcPr>
          <w:p>
            <w:pPr>
              <w:jc w:val="center"/>
            </w:pPr>
            <w:r>
              <w:rPr>
                <w:rFonts w:ascii="Calibri" w:hAnsi="Calibri" w:eastAsia="Microsoft YaHei"/>
                <w:b/>
                <w:color w:val="2E74B5"/>
                <w:sz w:val="17"/>
              </w:rPr>
              <w:t>可观察结果</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可解释场景生成</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每个模态能够追溯到明确规律、参数与边界条件</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参数变化引起方向正确且可说明的场景变化</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跨尺度世界</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扩大地图时增加新的地貌、城市和网络结构，而非简单提高采样分辨率</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不同尺度下统计规律稳定且局部结构不机械重复</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物理潮流标签</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节点与线路标签满足AC功率平衡和设备约束</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标准算例一致、残差可控、不可行场景有明确标记</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可控反事实</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能够独立改变气候、人口、能源结构、拓扑和故障条件</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可以解释单因素变化对潮流与安全性的影响</w:t>
            </w:r>
          </w:p>
        </w:tc>
      </w:tr>
      <w:tr>
        <w:tc>
          <w:tcPr>
            <w:tcW w:type="dxa" w:w="1701"/>
            <w:vAlign w:val="center"/>
            <w:tcMar>
              <w:top w:w="80" w:type="dxa"/>
              <w:start w:w="110" w:type="dxa"/>
              <w:bottom w:w="80" w:type="dxa"/>
              <w:end w:w="110" w:type="dxa"/>
            </w:tcMar>
          </w:tcPr>
          <w:p>
            <w:pPr>
              <w:jc w:val="left"/>
            </w:pPr>
            <w:r>
              <w:rPr>
                <w:rFonts w:ascii="Calibri" w:hAnsi="Calibri" w:eastAsia="Microsoft YaHei"/>
                <w:b w:val="0"/>
                <w:color w:val="20252B"/>
                <w:sz w:val="17"/>
              </w:rPr>
              <w:t>统一Benchmark</w:t>
            </w:r>
          </w:p>
        </w:tc>
        <w:tc>
          <w:tcPr>
            <w:tcW w:type="dxa" w:w="4535"/>
            <w:vAlign w:val="center"/>
            <w:tcMar>
              <w:top w:w="80" w:type="dxa"/>
              <w:start w:w="110" w:type="dxa"/>
              <w:bottom w:w="80" w:type="dxa"/>
              <w:end w:w="110" w:type="dxa"/>
            </w:tcMar>
          </w:tcPr>
          <w:p>
            <w:pPr>
              <w:jc w:val="left"/>
            </w:pPr>
            <w:r>
              <w:rPr>
                <w:rFonts w:ascii="Calibri" w:hAnsi="Calibri" w:eastAsia="Microsoft YaHei"/>
                <w:b w:val="0"/>
                <w:color w:val="20252B"/>
                <w:sz w:val="17"/>
              </w:rPr>
              <w:t>数据格式、划分、任务和指标保持一致</w:t>
            </w:r>
          </w:p>
        </w:tc>
        <w:tc>
          <w:tcPr>
            <w:tcW w:type="dxa" w:w="3685"/>
            <w:vAlign w:val="center"/>
            <w:tcMar>
              <w:top w:w="80" w:type="dxa"/>
              <w:start w:w="110" w:type="dxa"/>
              <w:bottom w:w="80" w:type="dxa"/>
              <w:end w:w="110" w:type="dxa"/>
            </w:tcMar>
          </w:tcPr>
          <w:p>
            <w:pPr>
              <w:jc w:val="left"/>
            </w:pPr>
            <w:r>
              <w:rPr>
                <w:rFonts w:ascii="Calibri" w:hAnsi="Calibri" w:eastAsia="Microsoft YaHei"/>
                <w:b w:val="0"/>
                <w:color w:val="20252B"/>
                <w:sz w:val="17"/>
              </w:rPr>
              <w:t>传统方法、时序模型和图模型可在同一协议下比较</w:t>
            </w:r>
          </w:p>
        </w:tc>
      </w:tr>
      <w:tr>
        <w:tc>
          <w:tcPr>
            <w:tcW w:type="dxa" w:w="1701"/>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可扩展数据集</w:t>
            </w:r>
          </w:p>
        </w:tc>
        <w:tc>
          <w:tcPr>
            <w:tcW w:type="dxa" w:w="453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支持大量随机世界和不同运行轨迹</w:t>
            </w:r>
          </w:p>
        </w:tc>
        <w:tc>
          <w:tcPr>
            <w:tcW w:type="dxa" w:w="3685"/>
            <w:vAlign w:val="center"/>
            <w:tcMar>
              <w:top w:w="80" w:type="dxa"/>
              <w:start w:w="110" w:type="dxa"/>
              <w:bottom w:w="80" w:type="dxa"/>
              <w:end w:w="110" w:type="dxa"/>
            </w:tcMar>
            <w:shd w:fill="F2F4F7"/>
          </w:tcPr>
          <w:p>
            <w:pPr>
              <w:jc w:val="left"/>
            </w:pPr>
            <w:r>
              <w:rPr>
                <w:rFonts w:ascii="Calibri" w:hAnsi="Calibri" w:eastAsia="Microsoft YaHei"/>
                <w:b w:val="0"/>
                <w:color w:val="20252B"/>
                <w:sz w:val="17"/>
              </w:rPr>
              <w:t>样本可复现、配置可追溯、模态可按需启用或遮蔽</w:t>
            </w:r>
          </w:p>
        </w:tc>
      </w:tr>
    </w:tbl>
    <w:p>
      <w:pPr>
        <w:spacing w:after="20"/>
      </w:pPr>
    </w:p>
    <w:p>
      <w:pPr>
        <w:keepLines/>
        <w:jc w:val="center"/>
      </w:pPr>
      <w:r>
        <w:drawing>
          <wp:inline xmlns:a="http://schemas.openxmlformats.org/drawingml/2006/main" xmlns:pic="http://schemas.openxmlformats.org/drawingml/2006/picture">
            <wp:extent cx="5652000" cy="4811838"/>
            <wp:docPr id="10" name="Picture 10"/>
            <wp:cNvGraphicFramePr>
              <a:graphicFrameLocks noChangeAspect="1"/>
            </wp:cNvGraphicFramePr>
            <a:graphic>
              <a:graphicData uri="http://schemas.openxmlformats.org/drawingml/2006/picture">
                <pic:pic>
                  <pic:nvPicPr>
                    <pic:cNvPr id="0" name="storage_poster.png"/>
                    <pic:cNvPicPr/>
                  </pic:nvPicPr>
                  <pic:blipFill>
                    <a:blip r:embed="rId19"/>
                    <a:stretch>
                      <a:fillRect/>
                    </a:stretch>
                  </pic:blipFill>
                  <pic:spPr>
                    <a:xfrm>
                      <a:off x="0" y="0"/>
                      <a:ext cx="5652000" cy="4811838"/>
                    </a:xfrm>
                    <a:prstGeom prst="rect"/>
                  </pic:spPr>
                </pic:pic>
              </a:graphicData>
            </a:graphic>
          </wp:inline>
        </w:drawing>
      </w:r>
    </w:p>
    <w:p>
      <w:pPr>
        <w:spacing w:after="140"/>
        <w:jc w:val="center"/>
      </w:pPr>
      <w:r>
        <w:rPr>
          <w:rFonts w:ascii="Calibri" w:hAnsi="Calibri" w:eastAsia="Microsoft YaHei"/>
          <w:b w:val="0"/>
          <w:color w:val="5F6B76"/>
          <w:sz w:val="17"/>
        </w:rPr>
        <w:t>图9  储能调度动态中间帧；完整动画位于media/storage_dispatch_with_weather.webp</w:t>
      </w:r>
    </w:p>
    <w:p>
      <w:pPr>
        <w:pStyle w:val="Heading1"/>
        <w:keepNext/>
      </w:pPr>
      <w:r>
        <w:t>9  研究边界</w:t>
      </w:r>
    </w:p>
    <w:p>
      <w:pPr>
        <w:pStyle w:val="ListBullet"/>
        <w:ind w:left="312" w:hanging="142"/>
      </w:pPr>
      <w:r>
        <w:rPr>
          <w:rFonts w:ascii="Calibri" w:hAnsi="Calibri" w:eastAsia="Microsoft YaHei"/>
          <w:b w:val="0"/>
          <w:color w:val="20252B"/>
          <w:sz w:val="20"/>
        </w:rPr>
        <w:t>生成世界用于形成可控实验场景，不被解释为某一真实地区电网的数字孪生。</w:t>
      </w:r>
    </w:p>
    <w:p>
      <w:pPr>
        <w:pStyle w:val="ListBullet"/>
        <w:ind w:left="312" w:hanging="142"/>
      </w:pPr>
      <w:r>
        <w:rPr>
          <w:rFonts w:ascii="Calibri" w:hAnsi="Calibri" w:eastAsia="Microsoft YaHei"/>
          <w:b w:val="0"/>
          <w:color w:val="20252B"/>
          <w:sz w:val="20"/>
        </w:rPr>
        <w:t>解析模型强调规律透明和参数可校准，不追求完整复现大气、地质或社会系统的全部机制。</w:t>
      </w:r>
    </w:p>
    <w:p>
      <w:pPr>
        <w:pStyle w:val="ListBullet"/>
        <w:ind w:left="312" w:hanging="142"/>
      </w:pPr>
      <w:r>
        <w:rPr>
          <w:rFonts w:ascii="Calibri" w:hAnsi="Calibri" w:eastAsia="Microsoft YaHei"/>
          <w:b w:val="0"/>
          <w:color w:val="20252B"/>
          <w:sz w:val="20"/>
        </w:rPr>
        <w:t>A*线路路径描述地理走廊，不直接作为学习模型的图结构特征；电网结构以节点和线路关系为准。</w:t>
      </w:r>
    </w:p>
    <w:p>
      <w:pPr>
        <w:pStyle w:val="ListBullet"/>
        <w:ind w:left="312" w:hanging="142"/>
      </w:pPr>
      <w:r>
        <w:rPr>
          <w:rFonts w:ascii="Calibri" w:hAnsi="Calibri" w:eastAsia="Microsoft YaHei"/>
          <w:b w:val="0"/>
          <w:color w:val="20252B"/>
          <w:sz w:val="20"/>
        </w:rPr>
        <w:t>潮流计算以成熟求解器结果作为物理标签，学习模型用于逼近、预测和泛化，不替代标签生成过程。</w:t>
      </w:r>
    </w:p>
    <w:p>
      <w:pPr>
        <w:pStyle w:val="ListBullet"/>
        <w:ind w:left="312" w:hanging="142"/>
      </w:pPr>
      <w:r>
        <w:rPr>
          <w:rFonts w:ascii="Calibri" w:hAnsi="Calibri" w:eastAsia="Microsoft YaHei"/>
          <w:b w:val="0"/>
          <w:color w:val="20252B"/>
          <w:sz w:val="20"/>
        </w:rPr>
        <w:t>当前关注稳态及多时段准稳态问题，电磁暂态、继电保护细节和市场博弈属于后续可扩展范围。</w:t>
      </w:r>
    </w:p>
    <w:p>
      <w:pPr>
        <w:pStyle w:val="Heading1"/>
        <w:keepNext/>
      </w:pPr>
      <w:r>
        <w:t>附录  重点数据与文献入口</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098"/>
            <w:vAlign w:val="center"/>
            <w:shd w:fill="EAF3F9"/>
            <w:tcMar>
              <w:top w:w="80" w:type="dxa"/>
              <w:start w:w="110" w:type="dxa"/>
              <w:bottom w:w="80" w:type="dxa"/>
              <w:end w:w="110" w:type="dxa"/>
            </w:tcMar>
          </w:tcPr>
          <w:p>
            <w:pPr>
              <w:jc w:val="center"/>
            </w:pPr>
            <w:r>
              <w:rPr>
                <w:rFonts w:ascii="Calibri" w:hAnsi="Calibri" w:eastAsia="Microsoft YaHei"/>
                <w:b/>
                <w:color w:val="2E74B5"/>
                <w:sz w:val="15"/>
              </w:rPr>
              <w:t>资源</w:t>
            </w:r>
          </w:p>
        </w:tc>
        <w:tc>
          <w:tcPr>
            <w:tcW w:type="dxa" w:w="3061"/>
            <w:vAlign w:val="center"/>
            <w:shd w:fill="EAF3F9"/>
            <w:tcMar>
              <w:top w:w="80" w:type="dxa"/>
              <w:start w:w="110" w:type="dxa"/>
              <w:bottom w:w="80" w:type="dxa"/>
              <w:end w:w="110" w:type="dxa"/>
            </w:tcMar>
          </w:tcPr>
          <w:p>
            <w:pPr>
              <w:jc w:val="center"/>
            </w:pPr>
            <w:r>
              <w:rPr>
                <w:rFonts w:ascii="Calibri" w:hAnsi="Calibri" w:eastAsia="Microsoft YaHei"/>
                <w:b/>
                <w:color w:val="2E74B5"/>
                <w:sz w:val="15"/>
              </w:rPr>
              <w:t>用途</w:t>
            </w:r>
          </w:p>
        </w:tc>
        <w:tc>
          <w:tcPr>
            <w:tcW w:type="dxa" w:w="4762"/>
            <w:vAlign w:val="center"/>
            <w:shd w:fill="EAF3F9"/>
            <w:tcMar>
              <w:top w:w="80" w:type="dxa"/>
              <w:start w:w="110" w:type="dxa"/>
              <w:bottom w:w="80" w:type="dxa"/>
              <w:end w:w="110" w:type="dxa"/>
            </w:tcMar>
          </w:tcPr>
          <w:p>
            <w:pPr>
              <w:jc w:val="center"/>
            </w:pPr>
            <w:r>
              <w:rPr>
                <w:rFonts w:ascii="Calibri" w:hAnsi="Calibri" w:eastAsia="Microsoft YaHei"/>
                <w:b/>
                <w:color w:val="2E74B5"/>
                <w:sz w:val="15"/>
              </w:rPr>
              <w:t>网址</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MATPOWER Power Flow</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AC/DC潮流方程与求解器</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https://matpower.app/manual/matpower/PowerFlow.html</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PGLib-OPF</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标准AC-OPF算例与参考结果</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https://github.com/power-grid-lib/pglib-opf</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PowerGraph</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PF/OPF/故障图学习Benchmark</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https://powergraph.ivia.ch/</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PSML</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多尺度电网时序和动态扰动</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https://github.com/tamu-engineering-research/Open-source-power-dataset</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SDWPF</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真实风机阵列SCADA与空间关系</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https://figshare.com/articles/dataset/SDWPF_dataset/24798654</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ERA5</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全球小时级气象再分析</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https://cds.climate.copernicus.eu/datasets/reanalysis-era5-single-levels</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NREL WIND Toolkit</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风资源、功率和预测数据</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https://www.nrel.gov/grid/wind-toolkit</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PVWatts</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光伏发电解析估算</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https://developer.nrel.gov/docs/solar/pvwatts/</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Priority-Flood</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DEM洼地填充与流域标记</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https://doi.org/10.1016/j.cageo.2013.04.024</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WRF</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解析数值天气模型参考</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https://github.com/wrf-model/WRF</w:t>
            </w:r>
          </w:p>
        </w:tc>
      </w:tr>
      <w:tr>
        <w:tc>
          <w:tcPr>
            <w:tcW w:type="dxa" w:w="2098"/>
            <w:vAlign w:val="center"/>
            <w:tcMar>
              <w:top w:w="80" w:type="dxa"/>
              <w:start w:w="110" w:type="dxa"/>
              <w:bottom w:w="80" w:type="dxa"/>
              <w:end w:w="110" w:type="dxa"/>
            </w:tcMar>
          </w:tcPr>
          <w:p>
            <w:pPr>
              <w:jc w:val="left"/>
            </w:pPr>
            <w:r>
              <w:rPr>
                <w:rFonts w:ascii="Calibri" w:hAnsi="Calibri" w:eastAsia="Microsoft YaHei"/>
                <w:b w:val="0"/>
                <w:color w:val="20252B"/>
                <w:sz w:val="15"/>
              </w:rPr>
              <w:t>NERC Reliability Standards</w:t>
            </w:r>
          </w:p>
        </w:tc>
        <w:tc>
          <w:tcPr>
            <w:tcW w:type="dxa" w:w="3061"/>
            <w:vAlign w:val="center"/>
            <w:tcMar>
              <w:top w:w="80" w:type="dxa"/>
              <w:start w:w="110" w:type="dxa"/>
              <w:bottom w:w="80" w:type="dxa"/>
              <w:end w:w="110" w:type="dxa"/>
            </w:tcMar>
          </w:tcPr>
          <w:p>
            <w:pPr>
              <w:jc w:val="left"/>
            </w:pPr>
            <w:r>
              <w:rPr>
                <w:rFonts w:ascii="Calibri" w:hAnsi="Calibri" w:eastAsia="Microsoft YaHei"/>
                <w:b w:val="0"/>
                <w:color w:val="20252B"/>
                <w:sz w:val="15"/>
              </w:rPr>
              <w:t>输电规划与运行安全规则索引</w:t>
            </w:r>
          </w:p>
        </w:tc>
        <w:tc>
          <w:tcPr>
            <w:tcW w:type="dxa" w:w="4762"/>
            <w:vAlign w:val="center"/>
            <w:tcMar>
              <w:top w:w="80" w:type="dxa"/>
              <w:start w:w="110" w:type="dxa"/>
              <w:bottom w:w="80" w:type="dxa"/>
              <w:end w:w="110" w:type="dxa"/>
            </w:tcMar>
          </w:tcPr>
          <w:p>
            <w:pPr>
              <w:jc w:val="left"/>
            </w:pPr>
            <w:r>
              <w:rPr>
                <w:rFonts w:ascii="Calibri" w:hAnsi="Calibri" w:eastAsia="Microsoft YaHei"/>
                <w:b w:val="0"/>
                <w:color w:val="20252B"/>
                <w:sz w:val="15"/>
              </w:rPr>
              <w:t>https://www.nerc.com/standards/reliability-standards</w:t>
            </w:r>
          </w:p>
        </w:tc>
      </w:tr>
      <w:tr>
        <w:tc>
          <w:tcPr>
            <w:tcW w:type="dxa" w:w="2098"/>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Open Power System Data</w:t>
            </w:r>
          </w:p>
        </w:tc>
        <w:tc>
          <w:tcPr>
            <w:tcW w:type="dxa" w:w="3061"/>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负荷、风光、装机与天气时序</w:t>
            </w:r>
          </w:p>
        </w:tc>
        <w:tc>
          <w:tcPr>
            <w:tcW w:type="dxa" w:w="4762"/>
            <w:vAlign w:val="center"/>
            <w:tcMar>
              <w:top w:w="80" w:type="dxa"/>
              <w:start w:w="110" w:type="dxa"/>
              <w:bottom w:w="80" w:type="dxa"/>
              <w:end w:w="110" w:type="dxa"/>
            </w:tcMar>
            <w:shd w:fill="F2F4F7"/>
          </w:tcPr>
          <w:p>
            <w:pPr>
              <w:jc w:val="left"/>
            </w:pPr>
            <w:r>
              <w:rPr>
                <w:rFonts w:ascii="Calibri" w:hAnsi="Calibri" w:eastAsia="Microsoft YaHei"/>
                <w:b w:val="0"/>
                <w:color w:val="20252B"/>
                <w:sz w:val="15"/>
              </w:rPr>
              <w:t>https://open-power-system-data.org/</w:t>
            </w:r>
          </w:p>
        </w:tc>
      </w:tr>
    </w:tbl>
    <w:p>
      <w:pPr>
        <w:spacing w:after="20"/>
      </w:pPr>
    </w:p>
    <w:sectPr w:rsidR="00FC693F" w:rsidRPr="0006063C" w:rsidSect="00034616">
      <w:headerReference w:type="default" r:id="rId9"/>
      <w:footerReference w:type="default" r:id="rId10"/>
      <w:pgSz w:w="11906" w:h="16838"/>
      <w:pgMar w:top="1134"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F6B76"/>
        <w:sz w:val="17"/>
      </w:rPr>
      <w:t xml:space="preserve">PF-Delta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5F6B76"/>
        <w:sz w:val="17"/>
      </w:rPr>
      <w:t>多模态电网潮流计算 · 项目描述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eastAsia="Microsoft YaHei"/>
      <w:b w:val="0"/>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025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025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F6B76"/>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多模态电网潮流计算：项目现状、核心目标与预期形态</dc:title>
  <dc:subject>解析世界建模、物理潮流标签与跨场景Benchmark</dc:subject>
  <dc:creator>PF-Delta</dc:creator>
  <cp:keywords/>
  <dc:description>generated by python-docx</dc:description>
  <cp:lastModifiedBy/>
  <cp:revision>1</cp:revision>
  <dcterms:created xsi:type="dcterms:W3CDTF">2013-12-23T23:15:00Z</dcterms:created>
  <dcterms:modified xsi:type="dcterms:W3CDTF">2013-12-23T23:15:00Z</dcterms:modified>
  <cp:category/>
</cp:coreProperties>
</file>