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99F9" w14:textId="77777777" w:rsidR="00475DDC" w:rsidRDefault="00000000">
      <w:pPr>
        <w:spacing w:after="40"/>
      </w:pPr>
      <w:r>
        <w:rPr>
          <w:b/>
          <w:bCs/>
        </w:rPr>
        <w:t>UFPI - CCS - DCG</w:t>
      </w:r>
    </w:p>
    <w:p w14:paraId="6E5F99FA" w14:textId="77777777" w:rsidR="00475DDC" w:rsidRDefault="00000000">
      <w:pPr>
        <w:spacing w:after="40"/>
      </w:pPr>
      <w:r>
        <w:rPr>
          <w:i/>
          <w:iCs/>
          <w:sz w:val="18"/>
          <w:szCs w:val="18"/>
        </w:rPr>
        <w:t>Metadados do caso (uso interno — não faz parte do roteiro do aluno)</w:t>
      </w:r>
    </w:p>
    <w:p w14:paraId="6E5F99FB" w14:textId="77777777" w:rsidR="00475DDC" w:rsidRDefault="00000000">
      <w:pPr>
        <w:spacing w:after="40"/>
      </w:pPr>
      <w:r>
        <w:t>Caso nº: 34 | Semana de produção: 5</w:t>
      </w:r>
    </w:p>
    <w:p w14:paraId="6E5F99FC" w14:textId="77777777" w:rsidR="00475DDC" w:rsidRDefault="00000000">
      <w:pPr>
        <w:spacing w:after="40"/>
      </w:pPr>
      <w:r>
        <w:t>Eixo A — Categoria diagnóstica: Gastrointestinal</w:t>
      </w:r>
    </w:p>
    <w:p w14:paraId="6E5F99FD" w14:textId="77777777" w:rsidR="00475DDC" w:rsidRDefault="00000000">
      <w:pPr>
        <w:spacing w:after="40"/>
      </w:pPr>
      <w:r>
        <w:t>Eixo B — Perfil de personalidade/comunicação: Resistente/hostil</w:t>
      </w:r>
    </w:p>
    <w:p w14:paraId="6E5F99FE" w14:textId="77777777" w:rsidR="00475DDC" w:rsidRDefault="00000000">
      <w:pPr>
        <w:spacing w:after="200"/>
      </w:pPr>
      <w:r>
        <w:t>Eixo C — Perfil sociodemográfico: Letramento alto / condição socioeconômica média</w:t>
      </w:r>
    </w:p>
    <w:p w14:paraId="6E5F99FF" w14:textId="77777777" w:rsidR="00475DDC" w:rsidRDefault="00000000">
      <w:pPr>
        <w:spacing w:after="300"/>
        <w:jc w:val="center"/>
      </w:pPr>
      <w:r>
        <w:rPr>
          <w:b/>
          <w:bCs/>
          <w:sz w:val="32"/>
          <w:szCs w:val="32"/>
        </w:rPr>
        <w:t>Caso 34 - Retocolite Ulcerativa em Surto Grave</w:t>
      </w:r>
    </w:p>
    <w:p w14:paraId="6E5F9A00" w14:textId="77777777" w:rsidR="00475DDC" w:rsidRDefault="00000000">
      <w:pPr>
        <w:pStyle w:val="Ttulo1"/>
        <w:spacing w:before="300" w:after="120"/>
      </w:pPr>
      <w:r>
        <w:t>1. Identificação</w:t>
      </w:r>
    </w:p>
    <w:p w14:paraId="6E5F9A01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Fernanda Borges Nogueira</w:t>
      </w:r>
    </w:p>
    <w:p w14:paraId="6E5F9A02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32 anos</w:t>
      </w:r>
    </w:p>
    <w:p w14:paraId="6E5F9A03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Data de nascimento: </w:t>
      </w:r>
      <w:r>
        <w:rPr>
          <w:sz w:val="24"/>
          <w:szCs w:val="24"/>
        </w:rPr>
        <w:t>09/03/1994</w:t>
      </w:r>
    </w:p>
    <w:p w14:paraId="6E5F9A04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Feminino</w:t>
      </w:r>
    </w:p>
    <w:p w14:paraId="6E5F9A05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Cor (raça): </w:t>
      </w:r>
      <w:r>
        <w:rPr>
          <w:sz w:val="24"/>
          <w:szCs w:val="24"/>
        </w:rPr>
        <w:t>Parda</w:t>
      </w:r>
    </w:p>
    <w:p w14:paraId="6E5F9A06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União estável (Gustavo, 34 anos, engenheiro civil)</w:t>
      </w:r>
    </w:p>
    <w:p w14:paraId="6E5F9A07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Nacionalidade: </w:t>
      </w:r>
      <w:r>
        <w:rPr>
          <w:sz w:val="24"/>
          <w:szCs w:val="24"/>
        </w:rPr>
        <w:t>Brasileira</w:t>
      </w:r>
    </w:p>
    <w:p w14:paraId="6E5F9A08" w14:textId="52C7E5A1" w:rsidR="00475DDC" w:rsidRDefault="00000000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Procedência: </w:t>
      </w:r>
      <w:r>
        <w:rPr>
          <w:sz w:val="24"/>
          <w:szCs w:val="24"/>
        </w:rPr>
        <w:t xml:space="preserve">Teresina </w:t>
      </w:r>
      <w:r w:rsidR="00EB0D12">
        <w:rPr>
          <w:sz w:val="24"/>
          <w:szCs w:val="24"/>
        </w:rPr>
        <w:t>–</w:t>
      </w:r>
      <w:r>
        <w:rPr>
          <w:sz w:val="24"/>
          <w:szCs w:val="24"/>
        </w:rPr>
        <w:t xml:space="preserve"> PI</w:t>
      </w:r>
    </w:p>
    <w:p w14:paraId="2336DABB" w14:textId="38771C6C" w:rsidR="00EB0D12" w:rsidRDefault="00C50ECE">
      <w:pPr>
        <w:spacing w:after="80"/>
      </w:pPr>
      <w:r>
        <w:rPr>
          <w:sz w:val="24"/>
          <w:szCs w:val="24"/>
        </w:rPr>
        <w:t xml:space="preserve"> </w:t>
      </w:r>
    </w:p>
    <w:p w14:paraId="6E5F9A09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Ensino superior completo — Licenciatura em Matemática (UFPI)</w:t>
      </w:r>
    </w:p>
    <w:p w14:paraId="6E5F9A0A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Profissão atual: </w:t>
      </w:r>
      <w:r>
        <w:rPr>
          <w:sz w:val="24"/>
          <w:szCs w:val="24"/>
        </w:rPr>
        <w:t>Professora de matemática do ensino médio — escola pública estadual</w:t>
      </w:r>
    </w:p>
    <w:p w14:paraId="6E5F9A0B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Residência atual: </w:t>
      </w:r>
      <w:r>
        <w:rPr>
          <w:sz w:val="24"/>
          <w:szCs w:val="24"/>
        </w:rPr>
        <w:t xml:space="preserve">Apartamento próprio, bairro </w:t>
      </w:r>
      <w:proofErr w:type="spellStart"/>
      <w:r>
        <w:rPr>
          <w:sz w:val="24"/>
          <w:szCs w:val="24"/>
        </w:rPr>
        <w:t>Ininga</w:t>
      </w:r>
      <w:proofErr w:type="spellEnd"/>
      <w:r>
        <w:rPr>
          <w:sz w:val="24"/>
          <w:szCs w:val="24"/>
        </w:rPr>
        <w:t>, Teresina - PI</w:t>
      </w:r>
    </w:p>
    <w:p w14:paraId="6E5F9A0C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Plano de saúde: </w:t>
      </w:r>
      <w:r>
        <w:rPr>
          <w:sz w:val="24"/>
          <w:szCs w:val="24"/>
        </w:rPr>
        <w:t>SUS (plano do estado suspenso por inadimplência)</w:t>
      </w:r>
    </w:p>
    <w:p w14:paraId="6E5F9A0D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Contato de emergência: </w:t>
      </w:r>
      <w:r>
        <w:rPr>
          <w:sz w:val="24"/>
          <w:szCs w:val="24"/>
        </w:rPr>
        <w:t>Gustavo Pinheiro (companheiro) — (86) 9XXXX-XXXX</w:t>
      </w:r>
    </w:p>
    <w:p w14:paraId="6E5F9A0E" w14:textId="77777777" w:rsidR="00475DDC" w:rsidRDefault="00475DDC">
      <w:pPr>
        <w:spacing w:after="80"/>
      </w:pPr>
    </w:p>
    <w:p w14:paraId="6E5F9A0F" w14:textId="77777777" w:rsidR="00475DDC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>Fernanda chegou à consulta com postura rígida e caderno de anotações na mão. Apresentou-se dizendo: "Eu já sei o que tenho. Só preciso de uma receita." Interrompe o médico com frequência, corrige termos médicos, cita artigos científicos. A hostilidade não é agressividade — é frustração acumulada por anos de consultas em que se sentiu desrespeitada e apressada. Tem medo de perder o controle sobre sua própria doença e resiste a qualquer sugestão que não tenha discutido previamente com ela.</w:t>
      </w:r>
    </w:p>
    <w:p w14:paraId="6E5F9A10" w14:textId="77777777" w:rsidR="00475DDC" w:rsidRDefault="00475DDC">
      <w:pPr>
        <w:spacing w:after="80"/>
      </w:pPr>
    </w:p>
    <w:p w14:paraId="6E5F9A11" w14:textId="77777777" w:rsidR="00475DDC" w:rsidRDefault="00000000">
      <w:pPr>
        <w:pStyle w:val="Ttulo1"/>
        <w:spacing w:before="300" w:after="120"/>
      </w:pPr>
      <w:r>
        <w:t>2. Queixa Principal</w:t>
      </w:r>
    </w:p>
    <w:p w14:paraId="6E5F9A12" w14:textId="77777777" w:rsidR="00475DDC" w:rsidRDefault="00000000">
      <w:pPr>
        <w:spacing w:after="100"/>
      </w:pPr>
      <w:r>
        <w:rPr>
          <w:i/>
          <w:iCs/>
          <w:sz w:val="24"/>
          <w:szCs w:val="24"/>
        </w:rPr>
        <w:t>"Estou em surto há seis semanas. Diarreia com sangue, dez vezes por dia. Já sei que é a retocolite. Preciso de prednisona e quero uma colonoscopia."</w:t>
      </w:r>
    </w:p>
    <w:p w14:paraId="6E5F9A13" w14:textId="77777777" w:rsidR="00475DDC" w:rsidRDefault="00000000">
      <w:pPr>
        <w:spacing w:after="120"/>
      </w:pPr>
      <w:r>
        <w:rPr>
          <w:sz w:val="24"/>
          <w:szCs w:val="24"/>
        </w:rPr>
        <w:t>(Apresenta a queixa com precisão técnica. Já chegou com diagnóstico formulado e plano terapêutico próprio. Resiste a perguntas que considera "básicas demais". Fica defensiva quando o médico questiona o uso de medicamentos.)</w:t>
      </w:r>
    </w:p>
    <w:p w14:paraId="6E5F9A14" w14:textId="77777777" w:rsidR="00475DDC" w:rsidRDefault="00475DDC">
      <w:pPr>
        <w:spacing w:after="80"/>
      </w:pPr>
    </w:p>
    <w:p w14:paraId="6E5F9A15" w14:textId="77777777" w:rsidR="00475DDC" w:rsidRDefault="00000000">
      <w:pPr>
        <w:pStyle w:val="Ttulo1"/>
        <w:spacing w:before="300" w:after="120"/>
      </w:pPr>
      <w:r>
        <w:t>3. História da Doença Atual</w:t>
      </w:r>
    </w:p>
    <w:p w14:paraId="6E5F9A16" w14:textId="77777777" w:rsidR="00475DDC" w:rsidRDefault="00000000">
      <w:pPr>
        <w:spacing w:after="120"/>
      </w:pPr>
      <w:r>
        <w:rPr>
          <w:sz w:val="24"/>
          <w:szCs w:val="24"/>
        </w:rPr>
        <w:t xml:space="preserve">Fernanda tem diagnóstico de Retocolite Ulcerativa (RCU) </w:t>
      </w:r>
      <w:proofErr w:type="spellStart"/>
      <w:r>
        <w:rPr>
          <w:sz w:val="24"/>
          <w:szCs w:val="24"/>
        </w:rPr>
        <w:t>pancolite</w:t>
      </w:r>
      <w:proofErr w:type="spellEnd"/>
      <w:r>
        <w:rPr>
          <w:sz w:val="24"/>
          <w:szCs w:val="24"/>
        </w:rPr>
        <w:t xml:space="preserve"> estabelecido há 3 anos, confirmado por colonoscopia com biópsia no Hospital Getúlio Vargas (Teresina). Estava em remissão clínica com mesalazina 4 g/dia. Há 4 meses, suspendeu a mesalazina por conta própria — decisão que omite inicialmente, revelando somente quando interrogada diretamente sobre os medicamentos em uso.</w:t>
      </w:r>
    </w:p>
    <w:p w14:paraId="6E5F9A17" w14:textId="77777777" w:rsidR="00475DDC" w:rsidRDefault="00475DDC">
      <w:pPr>
        <w:spacing w:after="80"/>
      </w:pPr>
    </w:p>
    <w:p w14:paraId="6E5F9A18" w14:textId="77777777" w:rsidR="00475DDC" w:rsidRDefault="00000000">
      <w:pPr>
        <w:spacing w:after="120"/>
      </w:pPr>
      <w:r>
        <w:rPr>
          <w:sz w:val="24"/>
          <w:szCs w:val="24"/>
        </w:rPr>
        <w:t>O surto atual iniciou há 6 semanas: diarreia progressiva com sangue vivo e muco, 8 a 10 evacuações por dia, incluindo 3 a 4 episódios noturnos que a acordam. Apresenta cólicas abdominais intensas antes de cada evacuação, urgência fecal impeditiva (não consegue conter por mais de 2 minutos) e tenesmo persistente.</w:t>
      </w:r>
    </w:p>
    <w:p w14:paraId="6E5F9A19" w14:textId="77777777" w:rsidR="00475DDC" w:rsidRDefault="00475DDC">
      <w:pPr>
        <w:spacing w:after="80"/>
      </w:pPr>
    </w:p>
    <w:p w14:paraId="6E5F9A1A" w14:textId="77777777" w:rsidR="00475DDC" w:rsidRDefault="00000000">
      <w:pPr>
        <w:spacing w:after="120"/>
      </w:pPr>
      <w:r>
        <w:rPr>
          <w:sz w:val="24"/>
          <w:szCs w:val="24"/>
        </w:rPr>
        <w:t>Refere febre baixa (37,6 a 38,0°C) nos últimos 15 dias, astenia intensa e perda de apetite. Perdeu 4 kg nas últimas 6 semanas. Relata dor em joelhos e tornozelos que começou junto com o surto intestinal — tenta atribuir a "excesso de trabalho em pé" ao ser interrogada. Há 2 semanas percebeu nódulos avermelhados e dolorosos nas canelas — acha que é "pancada" ou "alergia".</w:t>
      </w:r>
    </w:p>
    <w:p w14:paraId="6E5F9A1B" w14:textId="77777777" w:rsidR="00475DDC" w:rsidRDefault="00475DDC">
      <w:pPr>
        <w:spacing w:after="80"/>
      </w:pPr>
    </w:p>
    <w:p w14:paraId="6E5F9A1C" w14:textId="77777777" w:rsidR="00475DDC" w:rsidRDefault="00000000">
      <w:pPr>
        <w:spacing w:after="120"/>
      </w:pPr>
      <w:r>
        <w:rPr>
          <w:sz w:val="24"/>
          <w:szCs w:val="24"/>
        </w:rPr>
        <w:t xml:space="preserve">Está automedicando-se com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Imosec</w:t>
      </w:r>
      <w:proofErr w:type="spellEnd"/>
      <w:r>
        <w:rPr>
          <w:sz w:val="24"/>
          <w:szCs w:val="24"/>
        </w:rPr>
        <w:t>) 2 mg a cada evacuação — dado que esconde por saber que é contraindicado na DII em surto. Usou ibuprofeno por 10 dias para a dor articular — também contraindicado (AINE piora RCU). Não retornou ao gastroenterologista porque "da última vez ele passou 12 minutos comigo e não me deixou falar".</w:t>
      </w:r>
    </w:p>
    <w:p w14:paraId="6E5F9A1D" w14:textId="77777777" w:rsidR="00475DDC" w:rsidRDefault="00475DDC">
      <w:pPr>
        <w:spacing w:after="80"/>
      </w:pPr>
    </w:p>
    <w:p w14:paraId="6E5F9A1E" w14:textId="77777777" w:rsidR="00475DDC" w:rsidRDefault="00000000">
      <w:pPr>
        <w:pStyle w:val="Ttulo2"/>
        <w:spacing w:before="200" w:after="80"/>
      </w:pPr>
      <w:r>
        <w:t>Dados que emergem apenas com interrogatório ativo:</w:t>
      </w:r>
    </w:p>
    <w:p w14:paraId="6E5F9A1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Suspensão da mesalazina: "Eu li que a mesalazina causa problemas nos rins a longo prazo" — emerge com pergunta direta sobre medicamentos em uso</w:t>
      </w:r>
    </w:p>
    <w:p w14:paraId="6E5F9A20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Uso de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>: admite somente quando perguntado diretamente — sabe que é errado ("eu sei que não deveria, mas estava desesperada")</w:t>
      </w:r>
    </w:p>
    <w:p w14:paraId="6E5F9A21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Uso de ibuprofeno: emerge com pergunta sobre analgésicos — "só uns 10 dias, para a dor nas articulações"</w:t>
      </w:r>
    </w:p>
    <w:p w14:paraId="6E5F9A22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Evacuações noturnas: minimiza ("só umas 2 ou 3 vezes por noite") — emerge com pergunta específica sobre despertar noturno para evacuar</w:t>
      </w:r>
    </w:p>
    <w:p w14:paraId="6E5F9A23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Volume de sangue: diz "um pouco de sangue" → com pergunta sobre cor e quantidade: "às vezes é bastante sangue vermelho vivo, enche o papel"</w:t>
      </w:r>
    </w:p>
    <w:p w14:paraId="6E5F9A24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Nódulos nas canelas: não associa à RCU — emerge com exame físico e pergunta direcionada: eritema nodoso bilateral, manifestação </w:t>
      </w:r>
      <w:proofErr w:type="spellStart"/>
      <w:r>
        <w:rPr>
          <w:sz w:val="24"/>
          <w:szCs w:val="24"/>
        </w:rPr>
        <w:t>extra-intestinal</w:t>
      </w:r>
      <w:proofErr w:type="spellEnd"/>
    </w:p>
    <w:p w14:paraId="6E5F9A25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Dor articular como manifestação </w:t>
      </w:r>
      <w:proofErr w:type="spellStart"/>
      <w:r>
        <w:rPr>
          <w:sz w:val="24"/>
          <w:szCs w:val="24"/>
        </w:rPr>
        <w:t>extra-intestinal</w:t>
      </w:r>
      <w:proofErr w:type="spellEnd"/>
      <w:r>
        <w:rPr>
          <w:sz w:val="24"/>
          <w:szCs w:val="24"/>
        </w:rPr>
        <w:t>: atribui a causa independente — emerge com interrogatório sobre articulações e explicação da associação</w:t>
      </w:r>
    </w:p>
    <w:p w14:paraId="6E5F9A26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Medo central: "Minha prima teve colite e teve que operar. Eu não quero bolsa de colostomia." — emerge com </w:t>
      </w:r>
      <w:proofErr w:type="spellStart"/>
      <w:r>
        <w:rPr>
          <w:sz w:val="24"/>
          <w:szCs w:val="24"/>
        </w:rPr>
        <w:t>rapport</w:t>
      </w:r>
      <w:proofErr w:type="spellEnd"/>
      <w:r>
        <w:rPr>
          <w:sz w:val="24"/>
          <w:szCs w:val="24"/>
        </w:rPr>
        <w:t xml:space="preserve"> estabelecido e pergunta sobre medos em relação à doença</w:t>
      </w:r>
    </w:p>
    <w:p w14:paraId="6E5F9A27" w14:textId="77777777" w:rsidR="00475DDC" w:rsidRDefault="00475DDC">
      <w:pPr>
        <w:spacing w:after="80"/>
      </w:pPr>
    </w:p>
    <w:p w14:paraId="6E5F9A28" w14:textId="77777777" w:rsidR="00475DDC" w:rsidRDefault="00000000">
      <w:pPr>
        <w:pStyle w:val="Ttulo1"/>
        <w:spacing w:before="300" w:after="120"/>
      </w:pPr>
      <w:r>
        <w:t>4. Interrogatório Complementar (por sistemas)</w:t>
      </w:r>
    </w:p>
    <w:p w14:paraId="6E5F9A29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Geral: </w:t>
      </w:r>
      <w:r>
        <w:rPr>
          <w:sz w:val="24"/>
          <w:szCs w:val="24"/>
        </w:rPr>
        <w:t>Astenia intensa, perda de 4 kg em 6 semanas, anorexia, febre baixa há 15 dias (37,6-38,0°C). Sudorese noturna discreta.</w:t>
      </w:r>
    </w:p>
    <w:p w14:paraId="6E5F9A2A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Gastrointestinal: </w:t>
      </w:r>
      <w:r>
        <w:rPr>
          <w:sz w:val="24"/>
          <w:szCs w:val="24"/>
        </w:rPr>
        <w:t xml:space="preserve">Diarreia sanguinolenta com muco, 8-10 evacuações/dia + 3-4 noturnas. Urgência fecal impeditiva. Tenesmo persistente. Cólicas abdominais intensas </w:t>
      </w:r>
      <w:proofErr w:type="spellStart"/>
      <w:r>
        <w:rPr>
          <w:sz w:val="24"/>
          <w:szCs w:val="24"/>
        </w:rPr>
        <w:t>pré</w:t>
      </w:r>
      <w:proofErr w:type="spellEnd"/>
      <w:r>
        <w:rPr>
          <w:sz w:val="24"/>
          <w:szCs w:val="24"/>
        </w:rPr>
        <w:t>-evacuatórias. Nega náuseas e vômitos. Nega disfagia.</w:t>
      </w:r>
    </w:p>
    <w:p w14:paraId="6E5F9A2B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Musculoesquelético: </w:t>
      </w:r>
      <w:r>
        <w:rPr>
          <w:sz w:val="24"/>
          <w:szCs w:val="24"/>
        </w:rPr>
        <w:t>Artralgia em joelhos (bilateral, esquerdo &gt; direito) e tornozelos — início coincidente com o surto intestinal. Sem rigidez matinal prolongada. Sem edema articular visível.</w:t>
      </w:r>
    </w:p>
    <w:p w14:paraId="6E5F9A2C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Pele: </w:t>
      </w:r>
      <w:r>
        <w:rPr>
          <w:sz w:val="24"/>
          <w:szCs w:val="24"/>
        </w:rPr>
        <w:t>Nódulos eritematosos e dolorosos em face anterior de ambas as pernas (canelas) há 2 semanas — não associa à RCU.</w:t>
      </w:r>
    </w:p>
    <w:p w14:paraId="6E5F9A2D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Oftalmológico: </w:t>
      </w:r>
      <w:r>
        <w:rPr>
          <w:sz w:val="24"/>
          <w:szCs w:val="24"/>
        </w:rPr>
        <w:t>Nega olho vermelho, dor ocular ou alteração visual (</w:t>
      </w:r>
      <w:proofErr w:type="spellStart"/>
      <w:r>
        <w:rPr>
          <w:sz w:val="24"/>
          <w:szCs w:val="24"/>
        </w:rPr>
        <w:t>episclerite</w:t>
      </w:r>
      <w:proofErr w:type="spellEnd"/>
      <w:r>
        <w:rPr>
          <w:sz w:val="24"/>
          <w:szCs w:val="24"/>
        </w:rPr>
        <w:t xml:space="preserve"> e uveíte são manifestações </w:t>
      </w:r>
      <w:proofErr w:type="spellStart"/>
      <w:r>
        <w:rPr>
          <w:sz w:val="24"/>
          <w:szCs w:val="24"/>
        </w:rPr>
        <w:t>extra-intestinais</w:t>
      </w:r>
      <w:proofErr w:type="spellEnd"/>
      <w:r>
        <w:rPr>
          <w:sz w:val="24"/>
          <w:szCs w:val="24"/>
        </w:rPr>
        <w:t xml:space="preserve"> da RCU — investigar ativamente).</w:t>
      </w:r>
    </w:p>
    <w:p w14:paraId="6E5F9A2E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Cardiovascular: </w:t>
      </w:r>
      <w:r>
        <w:rPr>
          <w:sz w:val="24"/>
          <w:szCs w:val="24"/>
        </w:rPr>
        <w:t>Palpitações ocasionais — atribui à ansiedade. Sem dor precordial, sem síncope, sem edema.</w:t>
      </w:r>
    </w:p>
    <w:p w14:paraId="6E5F9A2F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Respiratório: </w:t>
      </w:r>
      <w:r>
        <w:rPr>
          <w:sz w:val="24"/>
          <w:szCs w:val="24"/>
        </w:rPr>
        <w:t>Sem tosse, sem dispneia.</w:t>
      </w:r>
    </w:p>
    <w:p w14:paraId="6E5F9A30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Neurológico: </w:t>
      </w:r>
      <w:r>
        <w:rPr>
          <w:sz w:val="24"/>
          <w:szCs w:val="24"/>
        </w:rPr>
        <w:t>Cefaleia tensional frequente — atribui ao estresse do trabalho e da doença.</w:t>
      </w:r>
    </w:p>
    <w:p w14:paraId="6E5F9A31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Ginecológico: </w:t>
      </w:r>
      <w:r>
        <w:rPr>
          <w:sz w:val="24"/>
          <w:szCs w:val="24"/>
        </w:rPr>
        <w:t>Ciclos menstruais irregulares nos últimos 3 meses (hipomenorreia) — associada provavelmente à perda de peso e estado inflamatório sistêmico.</w:t>
      </w:r>
    </w:p>
    <w:p w14:paraId="6E5F9A32" w14:textId="77777777" w:rsidR="00475DDC" w:rsidRDefault="00475DDC">
      <w:pPr>
        <w:spacing w:after="80"/>
      </w:pPr>
    </w:p>
    <w:p w14:paraId="6E5F9A33" w14:textId="77777777" w:rsidR="00475DDC" w:rsidRDefault="00000000">
      <w:pPr>
        <w:pStyle w:val="Ttulo1"/>
        <w:spacing w:before="300" w:after="120"/>
      </w:pPr>
      <w:r>
        <w:t>5. Antecedentes Pessoais</w:t>
      </w:r>
    </w:p>
    <w:p w14:paraId="6E5F9A34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Gestação e nascimento: </w:t>
      </w:r>
      <w:r>
        <w:rPr>
          <w:sz w:val="24"/>
          <w:szCs w:val="24"/>
        </w:rPr>
        <w:t>A termo, sem intercorrências.</w:t>
      </w:r>
    </w:p>
    <w:p w14:paraId="6E5F9A35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Desenvolvimento: </w:t>
      </w:r>
      <w:r>
        <w:rPr>
          <w:sz w:val="24"/>
          <w:szCs w:val="24"/>
        </w:rPr>
        <w:t>Normal. Destaque acadêmico desde a infância.</w:t>
      </w:r>
    </w:p>
    <w:p w14:paraId="6E5F9A36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Doenças anteriores: </w:t>
      </w:r>
      <w:r>
        <w:rPr>
          <w:sz w:val="24"/>
          <w:szCs w:val="24"/>
        </w:rPr>
        <w:t xml:space="preserve">RCU </w:t>
      </w:r>
      <w:proofErr w:type="spellStart"/>
      <w:r>
        <w:rPr>
          <w:sz w:val="24"/>
          <w:szCs w:val="24"/>
        </w:rPr>
        <w:t>pancolite</w:t>
      </w:r>
      <w:proofErr w:type="spellEnd"/>
      <w:r>
        <w:rPr>
          <w:sz w:val="24"/>
          <w:szCs w:val="24"/>
        </w:rPr>
        <w:t xml:space="preserve"> confirmada há 3 anos (colonoscopia com biópsia: inflamação difusa desde o reto até o ceco, com criptas distorcidas e abscesso de cripta). Em remissão clínica por 2,5 anos com mesalazina. Síndrome do intestino irritável suspeitada antes do diagnóstico definitivo — descartada após colonoscopia. Nega outras doenças crônicas.</w:t>
      </w:r>
    </w:p>
    <w:p w14:paraId="6E5F9A37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Cirurgias: </w:t>
      </w:r>
      <w:r>
        <w:rPr>
          <w:sz w:val="24"/>
          <w:szCs w:val="24"/>
        </w:rPr>
        <w:t>Nega.</w:t>
      </w:r>
    </w:p>
    <w:p w14:paraId="6E5F9A38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Transfusões: </w:t>
      </w:r>
      <w:r>
        <w:rPr>
          <w:sz w:val="24"/>
          <w:szCs w:val="24"/>
        </w:rPr>
        <w:t>Nega.</w:t>
      </w:r>
    </w:p>
    <w:p w14:paraId="6E5F9A39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Medicamentos em uso: </w:t>
      </w:r>
      <w:r>
        <w:rPr>
          <w:sz w:val="24"/>
          <w:szCs w:val="24"/>
        </w:rPr>
        <w:t xml:space="preserve">Nenhum no momento (suspendeu mesalazina 4g/dia há 4 meses). Automedicação: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2 mg às evacuações (irregular) e ibuprofeno 600 mg 3x/dia por 10 dias (suspendeu há 5 dias).</w:t>
      </w:r>
    </w:p>
    <w:p w14:paraId="6E5F9A3A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Alergias: </w:t>
      </w:r>
      <w:r>
        <w:rPr>
          <w:sz w:val="24"/>
          <w:szCs w:val="24"/>
        </w:rPr>
        <w:t xml:space="preserve">Alergia a </w:t>
      </w:r>
      <w:proofErr w:type="spellStart"/>
      <w:r>
        <w:rPr>
          <w:sz w:val="24"/>
          <w:szCs w:val="24"/>
        </w:rPr>
        <w:t>sulfametoxazol</w:t>
      </w:r>
      <w:proofErr w:type="spellEnd"/>
      <w:r>
        <w:rPr>
          <w:sz w:val="24"/>
          <w:szCs w:val="24"/>
        </w:rPr>
        <w:t>-trimetoprim (</w:t>
      </w:r>
      <w:proofErr w:type="spellStart"/>
      <w:r>
        <w:rPr>
          <w:sz w:val="24"/>
          <w:szCs w:val="24"/>
        </w:rPr>
        <w:t>rash</w:t>
      </w:r>
      <w:proofErr w:type="spellEnd"/>
      <w:r>
        <w:rPr>
          <w:sz w:val="24"/>
          <w:szCs w:val="24"/>
        </w:rPr>
        <w:t xml:space="preserve"> cutâneo).</w:t>
      </w:r>
    </w:p>
    <w:p w14:paraId="6E5F9A3B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Vacinação: </w:t>
      </w:r>
      <w:r>
        <w:rPr>
          <w:sz w:val="24"/>
          <w:szCs w:val="24"/>
        </w:rPr>
        <w:t>Em dia. Recebeu vacinas recomendadas para imunocomprometidos antes de iniciar mesalazina (conforme orientação da época).</w:t>
      </w:r>
    </w:p>
    <w:p w14:paraId="6E5F9A3C" w14:textId="77777777" w:rsidR="00475DDC" w:rsidRDefault="00475DDC">
      <w:pPr>
        <w:spacing w:after="80"/>
      </w:pPr>
    </w:p>
    <w:p w14:paraId="6E5F9A3D" w14:textId="77777777" w:rsidR="00475DDC" w:rsidRDefault="00000000">
      <w:pPr>
        <w:pStyle w:val="Ttulo1"/>
        <w:spacing w:before="300" w:after="120"/>
      </w:pPr>
      <w:r>
        <w:t>6. Observações Específicas (Gastrointestinal — RCU)</w:t>
      </w:r>
    </w:p>
    <w:p w14:paraId="6E5F9A3E" w14:textId="77777777" w:rsidR="00475DDC" w:rsidRDefault="00000000">
      <w:pPr>
        <w:pStyle w:val="Ttulo2"/>
        <w:spacing w:before="200" w:after="80"/>
      </w:pPr>
      <w:r>
        <w:t xml:space="preserve">Classificação da atividade do surto atual (Critérios de </w:t>
      </w:r>
      <w:proofErr w:type="spellStart"/>
      <w:r>
        <w:t>Truelove</w:t>
      </w:r>
      <w:proofErr w:type="spellEnd"/>
      <w:r>
        <w:t xml:space="preserve"> e </w:t>
      </w:r>
      <w:proofErr w:type="spellStart"/>
      <w:r>
        <w:t>Witts</w:t>
      </w:r>
      <w:proofErr w:type="spellEnd"/>
      <w:r>
        <w:t>):</w:t>
      </w:r>
    </w:p>
    <w:p w14:paraId="6E5F9A3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Frequência de evacuações: &gt; 6/dia com sangue = GRAVE</w:t>
      </w:r>
    </w:p>
    <w:p w14:paraId="6E5F9A40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Sangue nas fezes: sangue vivo volumoso = GRAVE</w:t>
      </w:r>
    </w:p>
    <w:p w14:paraId="6E5F9A41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Febre: 37,8°C (</w:t>
      </w:r>
      <w:proofErr w:type="spellStart"/>
      <w:r>
        <w:rPr>
          <w:sz w:val="24"/>
          <w:szCs w:val="24"/>
        </w:rPr>
        <w:t>Tax</w:t>
      </w:r>
      <w:proofErr w:type="spellEnd"/>
      <w:r>
        <w:rPr>
          <w:sz w:val="24"/>
          <w:szCs w:val="24"/>
        </w:rPr>
        <w:t>) = MODERADO/GRAVE</w:t>
      </w:r>
    </w:p>
    <w:p w14:paraId="6E5F9A42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Frequência cardíaca: 108 bpm = GRAVE (&gt; 90 bpm)</w:t>
      </w:r>
    </w:p>
    <w:p w14:paraId="6E5F9A43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Hemoglobina: provavelmente &lt; 10,5 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(anemia por sangramento crônico) — a confirmar</w:t>
      </w:r>
    </w:p>
    <w:p w14:paraId="6E5F9A44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VHS: provavelmente &gt; 30 mm/h — a confirmar</w:t>
      </w:r>
    </w:p>
    <w:p w14:paraId="6E5F9A45" w14:textId="77777777" w:rsidR="00475DDC" w:rsidRDefault="00000000">
      <w:pPr>
        <w:spacing w:after="120"/>
      </w:pPr>
      <w:r>
        <w:rPr>
          <w:sz w:val="24"/>
          <w:szCs w:val="24"/>
        </w:rPr>
        <w:t xml:space="preserve">→ SURTO GRAVE — critérios para hospitalização e </w:t>
      </w:r>
      <w:proofErr w:type="spellStart"/>
      <w:r>
        <w:rPr>
          <w:sz w:val="24"/>
          <w:szCs w:val="24"/>
        </w:rPr>
        <w:t>corticoterapia</w:t>
      </w:r>
      <w:proofErr w:type="spellEnd"/>
      <w:r>
        <w:rPr>
          <w:sz w:val="24"/>
          <w:szCs w:val="24"/>
        </w:rPr>
        <w:t xml:space="preserve"> intravenosa.</w:t>
      </w:r>
    </w:p>
    <w:p w14:paraId="6E5F9A46" w14:textId="77777777" w:rsidR="00475DDC" w:rsidRDefault="00475DDC">
      <w:pPr>
        <w:spacing w:after="80"/>
      </w:pPr>
    </w:p>
    <w:p w14:paraId="6E5F9A47" w14:textId="77777777" w:rsidR="00475DDC" w:rsidRDefault="00000000">
      <w:pPr>
        <w:pStyle w:val="Ttulo2"/>
        <w:spacing w:before="200" w:after="80"/>
      </w:pPr>
      <w:r>
        <w:t xml:space="preserve">Manifestações </w:t>
      </w:r>
      <w:proofErr w:type="spellStart"/>
      <w:r>
        <w:t>extra-intestinais</w:t>
      </w:r>
      <w:proofErr w:type="spellEnd"/>
      <w:r>
        <w:t xml:space="preserve"> presentes:</w:t>
      </w:r>
    </w:p>
    <w:p w14:paraId="6E5F9A4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Artrite periférica tipo 1: </w:t>
      </w:r>
      <w:proofErr w:type="spellStart"/>
      <w:r>
        <w:rPr>
          <w:sz w:val="24"/>
          <w:szCs w:val="24"/>
        </w:rPr>
        <w:t>oligoartrite</w:t>
      </w:r>
      <w:proofErr w:type="spellEnd"/>
      <w:r>
        <w:rPr>
          <w:sz w:val="24"/>
          <w:szCs w:val="24"/>
        </w:rPr>
        <w:t xml:space="preserve"> de grandes articulações (joelhos e tornozelos), correlacionada com atividade da doença intestinal — muito comum na RCU</w:t>
      </w:r>
    </w:p>
    <w:p w14:paraId="6E5F9A4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Eritema nodoso: nódulos eritematosos dolorosos nas canelas — manifestação </w:t>
      </w:r>
      <w:proofErr w:type="spellStart"/>
      <w:r>
        <w:rPr>
          <w:sz w:val="24"/>
          <w:szCs w:val="24"/>
        </w:rPr>
        <w:t>extra-intestinal</w:t>
      </w:r>
      <w:proofErr w:type="spellEnd"/>
      <w:r>
        <w:rPr>
          <w:sz w:val="24"/>
          <w:szCs w:val="24"/>
        </w:rPr>
        <w:t xml:space="preserve"> clássica, correlacionada com atividade da doença</w:t>
      </w:r>
    </w:p>
    <w:p w14:paraId="6E5F9A4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Investigar ativamente: </w:t>
      </w:r>
      <w:proofErr w:type="spellStart"/>
      <w:r>
        <w:rPr>
          <w:sz w:val="24"/>
          <w:szCs w:val="24"/>
        </w:rPr>
        <w:t>episclerite</w:t>
      </w:r>
      <w:proofErr w:type="spellEnd"/>
      <w:r>
        <w:rPr>
          <w:sz w:val="24"/>
          <w:szCs w:val="24"/>
        </w:rPr>
        <w:t>/uveíte (nega sintomas, mas deve ser rastreada), colangite esclerosante primária (CEP — cursa com elevação de fosfatase alcalina e gama-GT, associada principalmente à RCU)</w:t>
      </w:r>
    </w:p>
    <w:p w14:paraId="6E5F9A4B" w14:textId="77777777" w:rsidR="00475DDC" w:rsidRDefault="00475DDC">
      <w:pPr>
        <w:spacing w:after="80"/>
      </w:pPr>
    </w:p>
    <w:p w14:paraId="6E5F9A4C" w14:textId="77777777" w:rsidR="00475DDC" w:rsidRDefault="00000000">
      <w:pPr>
        <w:pStyle w:val="Ttulo2"/>
        <w:spacing w:before="200" w:after="80"/>
      </w:pPr>
      <w:r>
        <w:t>Risco de megacólon tóxico — dado crítico:</w:t>
      </w:r>
    </w:p>
    <w:p w14:paraId="6E5F9A4D" w14:textId="77777777" w:rsidR="00475DDC" w:rsidRDefault="00000000">
      <w:pPr>
        <w:spacing w:after="120"/>
      </w:pPr>
      <w:r>
        <w:rPr>
          <w:sz w:val="24"/>
          <w:szCs w:val="24"/>
        </w:rPr>
        <w:t xml:space="preserve">O uso de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em surto grave de DII é contraindicação absoluta: reduz a motilidade colônica, levando a acúmulo de gás e fezes, distensão progressiva e risco de perfuração (megacólon tóxico). O uso de </w:t>
      </w:r>
      <w:proofErr w:type="spellStart"/>
      <w:r>
        <w:rPr>
          <w:sz w:val="24"/>
          <w:szCs w:val="24"/>
        </w:rPr>
        <w:t>AINEs</w:t>
      </w:r>
      <w:proofErr w:type="spellEnd"/>
      <w:r>
        <w:rPr>
          <w:sz w:val="24"/>
          <w:szCs w:val="24"/>
        </w:rPr>
        <w:t xml:space="preserve"> (ibuprofeno) também é fator de risco para exacerbação de RCU e piora do surto. Ambas as situações devem ser abordadas com cuidado — sem julgamento moral, mas com clareza clínica sobre o risco.</w:t>
      </w:r>
    </w:p>
    <w:p w14:paraId="6E5F9A4E" w14:textId="77777777" w:rsidR="00475DDC" w:rsidRDefault="00475DDC">
      <w:pPr>
        <w:spacing w:after="80"/>
      </w:pPr>
    </w:p>
    <w:p w14:paraId="6E5F9A4F" w14:textId="77777777" w:rsidR="00475DDC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 xml:space="preserve">[Megacólon tóxico: dilatação colônica &gt; 6 cm no cólon transverso ao </w:t>
      </w:r>
      <w:proofErr w:type="spellStart"/>
      <w:r>
        <w:rPr>
          <w:i/>
          <w:iCs/>
          <w:color w:val="555555"/>
          <w:sz w:val="22"/>
          <w:szCs w:val="22"/>
        </w:rPr>
        <w:t>Rx</w:t>
      </w:r>
      <w:proofErr w:type="spellEnd"/>
      <w:r>
        <w:rPr>
          <w:i/>
          <w:iCs/>
          <w:color w:val="555555"/>
          <w:sz w:val="22"/>
          <w:szCs w:val="22"/>
        </w:rPr>
        <w:t xml:space="preserve"> simples de abdômen, acompanhada de toxemia sistêmica. Mortalidade de até 30% sem tratamento cirúrgico. Deve ser rastreado com radiografia de abdômen seriada durante a internação.]</w:t>
      </w:r>
    </w:p>
    <w:p w14:paraId="6E5F9A50" w14:textId="77777777" w:rsidR="00475DDC" w:rsidRDefault="00475DDC">
      <w:pPr>
        <w:spacing w:after="80"/>
      </w:pPr>
    </w:p>
    <w:p w14:paraId="6E5F9A51" w14:textId="77777777" w:rsidR="00475DDC" w:rsidRDefault="00000000">
      <w:pPr>
        <w:pStyle w:val="Ttulo1"/>
        <w:spacing w:before="300" w:after="120"/>
      </w:pPr>
      <w:r>
        <w:t>7. Antecedentes Familiares</w:t>
      </w:r>
    </w:p>
    <w:p w14:paraId="6E5F9A52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Pai: </w:t>
      </w:r>
      <w:r>
        <w:rPr>
          <w:sz w:val="24"/>
          <w:szCs w:val="24"/>
        </w:rPr>
        <w:t>Vivo, 60 anos. Hipertensão arterial e diabetes mellitus tipo 2.</w:t>
      </w:r>
    </w:p>
    <w:p w14:paraId="6E5F9A53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Mãe: </w:t>
      </w:r>
      <w:r>
        <w:rPr>
          <w:sz w:val="24"/>
          <w:szCs w:val="24"/>
        </w:rPr>
        <w:t xml:space="preserve">Viva, 58 anos. Hipotireoidismo em uso de </w:t>
      </w:r>
      <w:proofErr w:type="spellStart"/>
      <w:r>
        <w:rPr>
          <w:sz w:val="24"/>
          <w:szCs w:val="24"/>
        </w:rPr>
        <w:t>levotiroxina</w:t>
      </w:r>
      <w:proofErr w:type="spellEnd"/>
      <w:r>
        <w:rPr>
          <w:sz w:val="24"/>
          <w:szCs w:val="24"/>
        </w:rPr>
        <w:t>. Saudável.</w:t>
      </w:r>
    </w:p>
    <w:p w14:paraId="6E5F9A54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Prima materna: </w:t>
      </w:r>
      <w:r>
        <w:rPr>
          <w:sz w:val="24"/>
          <w:szCs w:val="24"/>
        </w:rPr>
        <w:t>Retocolite ulcerativa com colectomia total e ileostomia definitiva — fato que assusta profundamente Fernanda e alimenta seu medo central de "acabar com bolsa".</w:t>
      </w:r>
    </w:p>
    <w:p w14:paraId="6E5F9A55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Irmão: </w:t>
      </w:r>
      <w:r>
        <w:rPr>
          <w:sz w:val="24"/>
          <w:szCs w:val="24"/>
        </w:rPr>
        <w:t>Saudável, 29 anos.</w:t>
      </w:r>
    </w:p>
    <w:p w14:paraId="6E5F9A56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Sem histórico de: </w:t>
      </w:r>
      <w:r>
        <w:rPr>
          <w:sz w:val="24"/>
          <w:szCs w:val="24"/>
        </w:rPr>
        <w:t>Doença de Crohn, neoplasia colorretal, doenças autoimunes além dos citados.</w:t>
      </w:r>
    </w:p>
    <w:p w14:paraId="6E5F9A57" w14:textId="77777777" w:rsidR="00475DDC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>[Histórico familiar de RCU é fator de risco genético confirmado. A experiência da prima com colectomia é o principal fator motivador do medo de Fernanda e explica parte da resistência ao tratamento médico convencional — ela teme que seguir as orientações médicas leve inevitavelmente à cirurgia.]</w:t>
      </w:r>
    </w:p>
    <w:p w14:paraId="6E5F9A58" w14:textId="77777777" w:rsidR="00475DDC" w:rsidRDefault="00475DDC">
      <w:pPr>
        <w:spacing w:after="80"/>
      </w:pPr>
    </w:p>
    <w:p w14:paraId="6E5F9A59" w14:textId="77777777" w:rsidR="00475DDC" w:rsidRDefault="00000000">
      <w:pPr>
        <w:pStyle w:val="Ttulo1"/>
        <w:spacing w:before="300" w:after="120"/>
      </w:pPr>
      <w:r>
        <w:t>8. História Social e Hábitos de Vida</w:t>
      </w:r>
    </w:p>
    <w:p w14:paraId="6E5F9A5A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Situação socioeconômica: </w:t>
      </w:r>
      <w:r>
        <w:rPr>
          <w:sz w:val="24"/>
          <w:szCs w:val="24"/>
        </w:rPr>
        <w:t>Média. Dois salários: professora (R$ 3.800/mês) + contribuição do companheiro engenheiro. Apartamento próprio financiado. Sem dívidas críticas.</w:t>
      </w:r>
    </w:p>
    <w:p w14:paraId="6E5F9A5B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Moradia: </w:t>
      </w:r>
      <w:r>
        <w:rPr>
          <w:sz w:val="24"/>
          <w:szCs w:val="24"/>
        </w:rPr>
        <w:t xml:space="preserve">Apartamento de 2 quartos, bairro </w:t>
      </w:r>
      <w:proofErr w:type="spellStart"/>
      <w:r>
        <w:rPr>
          <w:sz w:val="24"/>
          <w:szCs w:val="24"/>
        </w:rPr>
        <w:t>Ininga</w:t>
      </w:r>
      <w:proofErr w:type="spellEnd"/>
      <w:r>
        <w:rPr>
          <w:sz w:val="24"/>
          <w:szCs w:val="24"/>
        </w:rPr>
        <w:t>, Teresina - PI. Mora com o companheiro Gustavo. Sem filhos.</w:t>
      </w:r>
    </w:p>
    <w:p w14:paraId="6E5F9A5C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 xml:space="preserve">Habitualmente equilibrada — é muito criteriosa com a dieta por causa da RCU (evita leite, frituras, fibras insolúveis em surto). </w:t>
      </w:r>
      <w:proofErr w:type="gramStart"/>
      <w:r>
        <w:rPr>
          <w:sz w:val="24"/>
          <w:szCs w:val="24"/>
        </w:rPr>
        <w:t>Nos últimos 6 semanas</w:t>
      </w:r>
      <w:proofErr w:type="gramEnd"/>
      <w:r>
        <w:rPr>
          <w:sz w:val="24"/>
          <w:szCs w:val="24"/>
        </w:rPr>
        <w:t>: anorexia importante, alimentação muito restrita.</w:t>
      </w:r>
    </w:p>
    <w:p w14:paraId="6E5F9A5D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Caminhadas 3x/semana — suspensas há 6 semanas pela diarreia e fraqueza.</w:t>
      </w:r>
    </w:p>
    <w:p w14:paraId="6E5F9A5E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Nunca fumou. (Dado relevante: tabagismo tem efeito paradoxalmente protetor na RCU — ao contrário de Crohn. Cessação do fumo pode precipitar surto — não é o caso aqui, mas importante para o diagnóstico diferencial.)</w:t>
      </w:r>
    </w:p>
    <w:p w14:paraId="6E5F9A5F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>Consumo social mínimo — uma taça de vinho na semana.</w:t>
      </w:r>
    </w:p>
    <w:p w14:paraId="6E5F9A60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Outras drogas: </w:t>
      </w:r>
      <w:r>
        <w:rPr>
          <w:sz w:val="24"/>
          <w:szCs w:val="24"/>
        </w:rPr>
        <w:t>Nega.</w:t>
      </w:r>
    </w:p>
    <w:p w14:paraId="6E5F9A61" w14:textId="77777777" w:rsidR="00475DDC" w:rsidRDefault="00475DDC">
      <w:pPr>
        <w:spacing w:after="80"/>
      </w:pPr>
    </w:p>
    <w:p w14:paraId="6E5F9A62" w14:textId="77777777" w:rsidR="00475DDC" w:rsidRDefault="00000000">
      <w:pPr>
        <w:pStyle w:val="Ttulo2"/>
        <w:spacing w:before="200" w:after="80"/>
      </w:pPr>
      <w:r>
        <w:t>Situação psicossocial:</w:t>
      </w:r>
    </w:p>
    <w:p w14:paraId="6E5F9A63" w14:textId="77777777" w:rsidR="00475DDC" w:rsidRDefault="00000000">
      <w:pPr>
        <w:spacing w:after="120"/>
      </w:pPr>
      <w:r>
        <w:rPr>
          <w:sz w:val="24"/>
          <w:szCs w:val="24"/>
        </w:rPr>
        <w:t xml:space="preserve">Fernanda está sob estresse considerável: surto afeta diretamente sua capacidade de trabalho (urgência fecal durante as aulas é motivo de vergonha intensa). Tirou atestado </w:t>
      </w:r>
      <w:proofErr w:type="gramStart"/>
      <w:r>
        <w:rPr>
          <w:sz w:val="24"/>
          <w:szCs w:val="24"/>
        </w:rPr>
        <w:t>há 2 semanas</w:t>
      </w:r>
      <w:proofErr w:type="gramEnd"/>
      <w:r>
        <w:rPr>
          <w:sz w:val="24"/>
          <w:szCs w:val="24"/>
        </w:rPr>
        <w:t xml:space="preserve"> mas se sente culpada pela ausência. O companheiro está preocupado e pressiona para que ela "confie mais nos médicos". Fernanda responde com irritação: "Ele não entende o que é viver com isso." Participa ativamente de grupo online de pacientes com DII — leu extensamente sobre </w:t>
      </w:r>
      <w:proofErr w:type="spellStart"/>
      <w:r>
        <w:rPr>
          <w:sz w:val="24"/>
          <w:szCs w:val="24"/>
        </w:rPr>
        <w:t>biologicals</w:t>
      </w:r>
      <w:proofErr w:type="spellEnd"/>
      <w:r>
        <w:rPr>
          <w:sz w:val="24"/>
          <w:szCs w:val="24"/>
        </w:rPr>
        <w:t>, colectomia e dietas terapêuticas. Essa informação — misturada com fontes não confiáveis — alimenta a resistência ao tratamento convencional.</w:t>
      </w:r>
    </w:p>
    <w:p w14:paraId="6E5F9A64" w14:textId="77777777" w:rsidR="00475DDC" w:rsidRDefault="00475DDC">
      <w:pPr>
        <w:spacing w:after="80"/>
      </w:pPr>
    </w:p>
    <w:p w14:paraId="6E5F9A65" w14:textId="77777777" w:rsidR="00475DDC" w:rsidRDefault="00000000">
      <w:pPr>
        <w:pStyle w:val="Ttulo1"/>
        <w:spacing w:before="300" w:after="120"/>
      </w:pPr>
      <w:r>
        <w:t>9. Exame Físico</w:t>
      </w:r>
    </w:p>
    <w:p w14:paraId="6E5F9A66" w14:textId="77777777" w:rsidR="00475DDC" w:rsidRDefault="00000000">
      <w:pPr>
        <w:pStyle w:val="Ttulo2"/>
        <w:spacing w:before="200" w:after="80"/>
      </w:pPr>
      <w:r>
        <w:t>Estado geral:</w:t>
      </w:r>
    </w:p>
    <w:p w14:paraId="6E5F9A67" w14:textId="77777777" w:rsidR="00475DDC" w:rsidRDefault="00000000">
      <w:pPr>
        <w:spacing w:after="120"/>
      </w:pPr>
      <w:r>
        <w:rPr>
          <w:sz w:val="24"/>
          <w:szCs w:val="24"/>
        </w:rPr>
        <w:t>Regular estado geral. Paciente lúcida, orientada, comunicativa de forma intensa e controladora. Aparenta discretamente abaixo do peso para a idade. Fácies de sofrimento e cansaço. Postura tensa, caderno na mão.</w:t>
      </w:r>
    </w:p>
    <w:p w14:paraId="6E5F9A68" w14:textId="77777777" w:rsidR="00475DDC" w:rsidRDefault="00475DDC">
      <w:pPr>
        <w:spacing w:after="80"/>
      </w:pPr>
    </w:p>
    <w:p w14:paraId="6E5F9A69" w14:textId="77777777" w:rsidR="00475DDC" w:rsidRDefault="00000000">
      <w:pPr>
        <w:pStyle w:val="Ttulo2"/>
        <w:spacing w:before="200" w:after="80"/>
      </w:pPr>
      <w:r>
        <w:t>Dados vitais:</w:t>
      </w:r>
    </w:p>
    <w:p w14:paraId="6E5F9A6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PA: 100/68 mmHg (hipotensão leve — desidratação)</w:t>
      </w:r>
    </w:p>
    <w:p w14:paraId="6E5F9A6B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FC: 108 bpm, rítmica (taquicardia)</w:t>
      </w:r>
    </w:p>
    <w:p w14:paraId="6E5F9A6C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FR: 19 </w:t>
      </w:r>
      <w:proofErr w:type="spellStart"/>
      <w:r>
        <w:rPr>
          <w:sz w:val="24"/>
          <w:szCs w:val="24"/>
        </w:rPr>
        <w:t>irpm</w:t>
      </w:r>
      <w:proofErr w:type="spellEnd"/>
    </w:p>
    <w:p w14:paraId="6E5F9A6D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Tax</w:t>
      </w:r>
      <w:proofErr w:type="spellEnd"/>
      <w:r>
        <w:rPr>
          <w:sz w:val="24"/>
          <w:szCs w:val="24"/>
        </w:rPr>
        <w:t>: 37,8°C</w:t>
      </w:r>
    </w:p>
    <w:p w14:paraId="6E5F9A6E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SpO2: 98% em ar ambiente</w:t>
      </w:r>
    </w:p>
    <w:p w14:paraId="6E5F9A6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Peso: 52 kg | Altura: 1,63 m | IMC: 19,6 kg/m² (abaixo do usual — perdeu 4 kg)</w:t>
      </w:r>
    </w:p>
    <w:p w14:paraId="6E5F9A70" w14:textId="77777777" w:rsidR="00475DDC" w:rsidRDefault="00475DDC">
      <w:pPr>
        <w:spacing w:after="80"/>
      </w:pPr>
    </w:p>
    <w:p w14:paraId="6E5F9A71" w14:textId="77777777" w:rsidR="00475DDC" w:rsidRDefault="00000000">
      <w:pPr>
        <w:pStyle w:val="Ttulo2"/>
        <w:spacing w:before="200" w:after="80"/>
      </w:pPr>
      <w:r>
        <w:t>Pele e mucosas:</w:t>
      </w:r>
    </w:p>
    <w:p w14:paraId="6E5F9A72" w14:textId="77777777" w:rsidR="00475DDC" w:rsidRDefault="00000000">
      <w:pPr>
        <w:spacing w:after="120"/>
      </w:pPr>
      <w:r>
        <w:rPr>
          <w:sz w:val="24"/>
          <w:szCs w:val="24"/>
        </w:rPr>
        <w:t xml:space="preserve">Palidez cutânea e conjuntival moderada (anemia clínica). Mucosas levemente desidratadas. Na face anterior de ambas as pernas: 2 nódulos eritematosos, elevados, quentes e muito dolorosos à palpação, de 2 a 3 cm, coloração violácea central — eritema nodoso bilateral, manifestação </w:t>
      </w:r>
      <w:proofErr w:type="spellStart"/>
      <w:r>
        <w:rPr>
          <w:sz w:val="24"/>
          <w:szCs w:val="24"/>
        </w:rPr>
        <w:t>extra-intestinal</w:t>
      </w:r>
      <w:proofErr w:type="spellEnd"/>
      <w:r>
        <w:rPr>
          <w:sz w:val="24"/>
          <w:szCs w:val="24"/>
        </w:rPr>
        <w:t xml:space="preserve"> clássica de RCU em atividade.</w:t>
      </w:r>
    </w:p>
    <w:p w14:paraId="6E5F9A73" w14:textId="77777777" w:rsidR="00475DDC" w:rsidRDefault="00475DDC">
      <w:pPr>
        <w:spacing w:after="80"/>
      </w:pPr>
    </w:p>
    <w:p w14:paraId="6E5F9A74" w14:textId="77777777" w:rsidR="00475DDC" w:rsidRDefault="00000000">
      <w:pPr>
        <w:pStyle w:val="Ttulo2"/>
        <w:spacing w:before="200" w:after="80"/>
      </w:pPr>
      <w:r>
        <w:t>Cabeça e pescoço:</w:t>
      </w:r>
    </w:p>
    <w:p w14:paraId="6E5F9A75" w14:textId="77777777" w:rsidR="00475DDC" w:rsidRDefault="00000000">
      <w:pPr>
        <w:spacing w:after="120"/>
      </w:pPr>
      <w:r>
        <w:rPr>
          <w:sz w:val="24"/>
          <w:szCs w:val="24"/>
        </w:rPr>
        <w:t xml:space="preserve">Sem adenomegalias. Tireoide sem alterações. Mucosa oral íntegra. Escleróticas sem hiperemia (afasta </w:t>
      </w:r>
      <w:proofErr w:type="spellStart"/>
      <w:r>
        <w:rPr>
          <w:sz w:val="24"/>
          <w:szCs w:val="24"/>
        </w:rPr>
        <w:t>episclerite</w:t>
      </w:r>
      <w:proofErr w:type="spellEnd"/>
      <w:r>
        <w:rPr>
          <w:sz w:val="24"/>
          <w:szCs w:val="24"/>
        </w:rPr>
        <w:t xml:space="preserve"> no momento).</w:t>
      </w:r>
    </w:p>
    <w:p w14:paraId="6E5F9A76" w14:textId="77777777" w:rsidR="00475DDC" w:rsidRDefault="00475DDC">
      <w:pPr>
        <w:spacing w:after="80"/>
      </w:pPr>
    </w:p>
    <w:p w14:paraId="6E5F9A77" w14:textId="77777777" w:rsidR="00475DDC" w:rsidRDefault="00000000">
      <w:pPr>
        <w:pStyle w:val="Ttulo2"/>
        <w:spacing w:before="200" w:after="80"/>
      </w:pPr>
      <w:r>
        <w:t>Tórax e aparelho respiratório:</w:t>
      </w:r>
    </w:p>
    <w:p w14:paraId="6E5F9A78" w14:textId="77777777" w:rsidR="00475DDC" w:rsidRDefault="00000000">
      <w:pPr>
        <w:spacing w:after="120"/>
      </w:pPr>
      <w:r>
        <w:rPr>
          <w:sz w:val="24"/>
          <w:szCs w:val="24"/>
        </w:rPr>
        <w:t>Simétrico. Murmúrio vesicular presente e simétrico, sem ruídos adventícios.</w:t>
      </w:r>
    </w:p>
    <w:p w14:paraId="6E5F9A79" w14:textId="77777777" w:rsidR="00475DDC" w:rsidRDefault="00475DDC">
      <w:pPr>
        <w:spacing w:after="80"/>
      </w:pPr>
    </w:p>
    <w:p w14:paraId="6E5F9A7A" w14:textId="77777777" w:rsidR="00475DDC" w:rsidRDefault="00000000">
      <w:pPr>
        <w:pStyle w:val="Ttulo2"/>
        <w:spacing w:before="200" w:after="80"/>
      </w:pPr>
      <w:r>
        <w:t>Aparelho cardiovascular:</w:t>
      </w:r>
    </w:p>
    <w:p w14:paraId="6E5F9A7B" w14:textId="77777777" w:rsidR="00475DDC" w:rsidRDefault="00000000">
      <w:pPr>
        <w:spacing w:after="120"/>
      </w:pPr>
      <w:r>
        <w:rPr>
          <w:sz w:val="24"/>
          <w:szCs w:val="24"/>
        </w:rPr>
        <w:t xml:space="preserve">Bulhas rítmicas, </w:t>
      </w:r>
      <w:proofErr w:type="spellStart"/>
      <w:r>
        <w:rPr>
          <w:sz w:val="24"/>
          <w:szCs w:val="24"/>
        </w:rPr>
        <w:t>normofonéticas</w:t>
      </w:r>
      <w:proofErr w:type="spellEnd"/>
      <w:r>
        <w:rPr>
          <w:sz w:val="24"/>
          <w:szCs w:val="24"/>
        </w:rPr>
        <w:t>, 2 tempos, sem sopros. Taquicardia sinusal (FC 108 bpm).</w:t>
      </w:r>
    </w:p>
    <w:p w14:paraId="6E5F9A7C" w14:textId="77777777" w:rsidR="00475DDC" w:rsidRDefault="00475DDC">
      <w:pPr>
        <w:spacing w:after="80"/>
      </w:pPr>
    </w:p>
    <w:p w14:paraId="6E5F9A7D" w14:textId="77777777" w:rsidR="00475DDC" w:rsidRDefault="00000000">
      <w:pPr>
        <w:pStyle w:val="Ttulo2"/>
        <w:spacing w:before="200" w:after="80"/>
      </w:pPr>
      <w:r>
        <w:t>Abdômen — achados centrais:</w:t>
      </w:r>
    </w:p>
    <w:p w14:paraId="6E5F9A7E" w14:textId="77777777" w:rsidR="00475DDC" w:rsidRDefault="00000000">
      <w:pPr>
        <w:spacing w:after="120"/>
      </w:pPr>
      <w:r>
        <w:rPr>
          <w:sz w:val="24"/>
          <w:szCs w:val="24"/>
        </w:rPr>
        <w:t>Plano, com timpanismo difuso. Ruídos hidroaéreos hiperativos (borborigmos audíveis). Dor difusa à palpação profunda, mais intensa em fossa ilíaca esquerda e flanco esquerdo (correspondendo ao cólon descendente e sigmoide). Sem defesa ou rigidez muscular. Sinal de Blumberg negativo. Sem hepatomegalia ou esplenomegalia palpáveis. Sem massas. Descompressão brusca negativa.</w:t>
      </w:r>
    </w:p>
    <w:p w14:paraId="6E5F9A7F" w14:textId="77777777" w:rsidR="00475DDC" w:rsidRDefault="00475DDC">
      <w:pPr>
        <w:spacing w:after="80"/>
      </w:pPr>
    </w:p>
    <w:p w14:paraId="6E5F9A80" w14:textId="77777777" w:rsidR="00475DDC" w:rsidRDefault="00000000">
      <w:pPr>
        <w:pStyle w:val="Ttulo2"/>
        <w:spacing w:before="200" w:after="80"/>
      </w:pPr>
      <w:r>
        <w:t>Toque retal:</w:t>
      </w:r>
    </w:p>
    <w:p w14:paraId="6E5F9A81" w14:textId="77777777" w:rsidR="00475DDC" w:rsidRDefault="00000000">
      <w:pPr>
        <w:spacing w:after="120"/>
      </w:pPr>
      <w:r>
        <w:rPr>
          <w:sz w:val="24"/>
          <w:szCs w:val="24"/>
        </w:rPr>
        <w:t>Esfíncter normotenso. Ampola retal com fezes sanguinolentas. Mucosa retal friável ao toque — sangramento de contato imediato ao dedo de luva. Sem massas ou irregularidades palpáveis.</w:t>
      </w:r>
    </w:p>
    <w:p w14:paraId="6E5F9A82" w14:textId="77777777" w:rsidR="00475DDC" w:rsidRDefault="00475DDC">
      <w:pPr>
        <w:spacing w:after="80"/>
      </w:pPr>
    </w:p>
    <w:p w14:paraId="6E5F9A83" w14:textId="77777777" w:rsidR="00475DDC" w:rsidRDefault="00000000">
      <w:pPr>
        <w:pStyle w:val="Ttulo2"/>
        <w:spacing w:before="200" w:after="80"/>
      </w:pPr>
      <w:r>
        <w:t>Membros inferiores:</w:t>
      </w:r>
    </w:p>
    <w:p w14:paraId="6E5F9A84" w14:textId="77777777" w:rsidR="00475DDC" w:rsidRDefault="00000000">
      <w:pPr>
        <w:spacing w:after="120"/>
      </w:pPr>
      <w:r>
        <w:rPr>
          <w:sz w:val="24"/>
          <w:szCs w:val="24"/>
        </w:rPr>
        <w:t>Eritema nodoso bilateral conforme descrito em Pele. Articulação do joelho esquerdo com discreto derrame articular ao exame (flutuação palpável, sinal da tecla positivo). Tornozelos com dor à mobilização passiva, sem edema. Pulsos preservados.</w:t>
      </w:r>
    </w:p>
    <w:p w14:paraId="6E5F9A85" w14:textId="77777777" w:rsidR="00475DDC" w:rsidRDefault="00475DDC">
      <w:pPr>
        <w:spacing w:after="80"/>
      </w:pPr>
    </w:p>
    <w:p w14:paraId="6E5F9A86" w14:textId="77777777" w:rsidR="00475DDC" w:rsidRDefault="00000000">
      <w:pPr>
        <w:pStyle w:val="Ttulo2"/>
        <w:spacing w:before="200" w:after="80"/>
      </w:pPr>
      <w:r>
        <w:t>Exames subsidiários esperados (para avaliar gravidade e diagnóstico diferencial):</w:t>
      </w:r>
    </w:p>
    <w:p w14:paraId="6E5F9A87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Hemograma completo: anemia normocítica (sangramento crônico), leucocitose (surto inflamatório/infeccioso), plaquetose reativa</w:t>
      </w:r>
    </w:p>
    <w:p w14:paraId="6E5F9A8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Proteína C reativa (PCR) e VHS: marcadores de atividade inflamatória — elevados no surto grave</w:t>
      </w:r>
    </w:p>
    <w:p w14:paraId="6E5F9A8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Calprotectina</w:t>
      </w:r>
      <w:proofErr w:type="spellEnd"/>
      <w:r>
        <w:rPr>
          <w:sz w:val="24"/>
          <w:szCs w:val="24"/>
        </w:rPr>
        <w:t xml:space="preserve"> fecal: marcador específico de inflamação intestinal — elevada (&gt; 250 µg/g) no surto de RCU</w:t>
      </w:r>
    </w:p>
    <w:p w14:paraId="6E5F9A8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Coprocultura e pesquisa de toxinas de </w:t>
      </w:r>
      <w:proofErr w:type="spellStart"/>
      <w:r>
        <w:rPr>
          <w:sz w:val="24"/>
          <w:szCs w:val="24"/>
        </w:rPr>
        <w:t>Clostridioides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difficile</w:t>
      </w:r>
      <w:proofErr w:type="spellEnd"/>
      <w:r>
        <w:rPr>
          <w:sz w:val="24"/>
          <w:szCs w:val="24"/>
        </w:rPr>
        <w:t>: exclusão obrigatória de colite infecciosa/superinfecção</w:t>
      </w:r>
    </w:p>
    <w:p w14:paraId="6E5F9A8B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Bioquímica: albumina (</w:t>
      </w:r>
      <w:proofErr w:type="spellStart"/>
      <w:r>
        <w:rPr>
          <w:sz w:val="24"/>
          <w:szCs w:val="24"/>
        </w:rPr>
        <w:t>hipoalbuminemia</w:t>
      </w:r>
      <w:proofErr w:type="spellEnd"/>
      <w:r>
        <w:rPr>
          <w:sz w:val="24"/>
          <w:szCs w:val="24"/>
        </w:rPr>
        <w:t xml:space="preserve"> em surto grave), eletrólitos (hipocalemia por diarreia), função renal (desidratação), TGO/TGP/FA/GGT (rastreio de CEP)</w:t>
      </w:r>
    </w:p>
    <w:p w14:paraId="6E5F9A8C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PCR quantitativa: marcador de atividade — correlaciona com gravidade</w:t>
      </w:r>
    </w:p>
    <w:p w14:paraId="6E5F9A8D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Radiografia simples de abdômen: rastreio de megacólon tóxico (dilatação &gt; 6 cm no cólon transverso)</w:t>
      </w:r>
    </w:p>
    <w:p w14:paraId="6E5F9A8E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Colonoscopia com biópsia (após controle do surto agudo): avaliar extensão, confirmar diagnóstico, afastar displasia — NÃO realizar durante surto grave pelo risco de perfuração</w:t>
      </w:r>
    </w:p>
    <w:p w14:paraId="6E5F9A8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Sigmoidoscopia</w:t>
      </w:r>
      <w:proofErr w:type="spellEnd"/>
      <w:r>
        <w:rPr>
          <w:sz w:val="24"/>
          <w:szCs w:val="24"/>
        </w:rPr>
        <w:t xml:space="preserve"> flexível limitada: alternativa segura para avaliação da atividade durante o surto (sem preparo completo, sem insuflação excessiva)</w:t>
      </w:r>
    </w:p>
    <w:p w14:paraId="6E5F9A90" w14:textId="77777777" w:rsidR="00475DDC" w:rsidRDefault="00475DDC">
      <w:pPr>
        <w:spacing w:after="80"/>
      </w:pPr>
    </w:p>
    <w:p w14:paraId="6E5F9A91" w14:textId="77777777" w:rsidR="00475DDC" w:rsidRDefault="00000000">
      <w:pPr>
        <w:pStyle w:val="Ttulo1"/>
        <w:spacing w:before="300" w:after="120"/>
      </w:pPr>
      <w:r>
        <w:t>10. Hipótese Diagnóstica</w:t>
      </w:r>
    </w:p>
    <w:p w14:paraId="6E5F9A92" w14:textId="77777777" w:rsidR="00475DDC" w:rsidRDefault="00000000">
      <w:pPr>
        <w:pStyle w:val="Ttulo2"/>
        <w:spacing w:before="200" w:after="80"/>
      </w:pPr>
      <w:r>
        <w:t>Hipótese principal:</w:t>
      </w:r>
    </w:p>
    <w:p w14:paraId="6E5F9A93" w14:textId="77777777" w:rsidR="00475DDC" w:rsidRDefault="00000000">
      <w:pPr>
        <w:spacing w:after="120"/>
      </w:pPr>
      <w:r>
        <w:rPr>
          <w:sz w:val="24"/>
          <w:szCs w:val="24"/>
        </w:rPr>
        <w:t xml:space="preserve">Retocolite Ulcerativa </w:t>
      </w:r>
      <w:proofErr w:type="spellStart"/>
      <w:r>
        <w:rPr>
          <w:sz w:val="24"/>
          <w:szCs w:val="24"/>
        </w:rPr>
        <w:t>pancolite</w:t>
      </w:r>
      <w:proofErr w:type="spellEnd"/>
      <w:r>
        <w:rPr>
          <w:sz w:val="24"/>
          <w:szCs w:val="24"/>
        </w:rPr>
        <w:t xml:space="preserve"> em surto grave (</w:t>
      </w:r>
      <w:proofErr w:type="spellStart"/>
      <w:r>
        <w:rPr>
          <w:sz w:val="24"/>
          <w:szCs w:val="24"/>
        </w:rPr>
        <w:t>Truelove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Witts</w:t>
      </w:r>
      <w:proofErr w:type="spellEnd"/>
      <w:r>
        <w:rPr>
          <w:sz w:val="24"/>
          <w:szCs w:val="24"/>
        </w:rPr>
        <w:t xml:space="preserve">: grave) — desencadeado por suspensão da terapia de manutenção (mesalazina) e agravado pelo uso de AINE (ibuprofeno) e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>.</w:t>
      </w:r>
    </w:p>
    <w:p w14:paraId="6E5F9A94" w14:textId="77777777" w:rsidR="00475DDC" w:rsidRDefault="00475DDC">
      <w:pPr>
        <w:spacing w:after="80"/>
      </w:pPr>
    </w:p>
    <w:p w14:paraId="6E5F9A95" w14:textId="77777777" w:rsidR="00475DDC" w:rsidRDefault="00000000">
      <w:pPr>
        <w:spacing w:after="120"/>
      </w:pPr>
      <w:r>
        <w:rPr>
          <w:sz w:val="24"/>
          <w:szCs w:val="24"/>
        </w:rPr>
        <w:t xml:space="preserve">Fisiopatologia: A RCU é uma doença inflamatória intestinal crônica de etiologia multifatorial (genética, imunológica, ambiental, disbiose). Caracteriza-se por inflamação difusa e contínua da mucosa colônica, iniciando sempre no reto e podendo se estender </w:t>
      </w:r>
      <w:proofErr w:type="spellStart"/>
      <w:r>
        <w:rPr>
          <w:sz w:val="24"/>
          <w:szCs w:val="24"/>
        </w:rPr>
        <w:t>proximalmente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pancolite</w:t>
      </w:r>
      <w:proofErr w:type="spellEnd"/>
      <w:r>
        <w:rPr>
          <w:sz w:val="24"/>
          <w:szCs w:val="24"/>
        </w:rPr>
        <w:t xml:space="preserve"> quando atinge o ceco). A suspensão da mesalazina (5-ASA) — que age inibindo mediadores inflamatórios localmente na mucosa — remove a proteção anti-inflamatória, precipitando o surto. O ibuprofeno inibe a </w:t>
      </w:r>
      <w:proofErr w:type="spellStart"/>
      <w:r>
        <w:rPr>
          <w:sz w:val="24"/>
          <w:szCs w:val="24"/>
        </w:rPr>
        <w:t>ciclo-oxigenase</w:t>
      </w:r>
      <w:proofErr w:type="spellEnd"/>
      <w:r>
        <w:rPr>
          <w:sz w:val="24"/>
          <w:szCs w:val="24"/>
        </w:rPr>
        <w:t xml:space="preserve">, alterando o muco protetor e a barreira epitelial, agravando a inflamação. A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>, ao reduzir a motilidade, favorece a distensão colônica e o risco de megacólon tóxico.</w:t>
      </w:r>
    </w:p>
    <w:p w14:paraId="6E5F9A96" w14:textId="77777777" w:rsidR="00475DDC" w:rsidRDefault="00475DDC">
      <w:pPr>
        <w:spacing w:after="80"/>
      </w:pPr>
    </w:p>
    <w:p w14:paraId="6E5F9A97" w14:textId="77777777" w:rsidR="00475DDC" w:rsidRDefault="00000000">
      <w:pPr>
        <w:pStyle w:val="Ttulo2"/>
        <w:spacing w:before="200" w:after="80"/>
      </w:pPr>
      <w:r>
        <w:t xml:space="preserve">Critérios diagnósticos (ECCO </w:t>
      </w:r>
      <w:proofErr w:type="spellStart"/>
      <w:r>
        <w:t>Guidelines</w:t>
      </w:r>
      <w:proofErr w:type="spellEnd"/>
      <w:r>
        <w:t xml:space="preserve"> / Consenso Brasileiro de DII):</w:t>
      </w:r>
    </w:p>
    <w:p w14:paraId="6E5F9A9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Colonoscopia prévia com biópsia compatível: inflamação difusa, contínua, iniciando no reto — diagnóstico já estabelecido</w:t>
      </w:r>
    </w:p>
    <w:p w14:paraId="6E5F9A9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Surto atual: piora clínica após suspensão da mesalazina, com critérios de gravidade (</w:t>
      </w:r>
      <w:proofErr w:type="spellStart"/>
      <w:r>
        <w:rPr>
          <w:sz w:val="24"/>
          <w:szCs w:val="24"/>
        </w:rPr>
        <w:t>Truelove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Witts</w:t>
      </w:r>
      <w:proofErr w:type="spellEnd"/>
      <w:r>
        <w:rPr>
          <w:sz w:val="24"/>
          <w:szCs w:val="24"/>
        </w:rPr>
        <w:t xml:space="preserve"> grave)</w:t>
      </w:r>
    </w:p>
    <w:p w14:paraId="6E5F9A9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Exclusão de causas infecciosas: coprocultura e pesquisa de C. </w:t>
      </w:r>
      <w:proofErr w:type="spellStart"/>
      <w:r>
        <w:rPr>
          <w:sz w:val="24"/>
          <w:szCs w:val="24"/>
        </w:rPr>
        <w:t>difficile</w:t>
      </w:r>
      <w:proofErr w:type="spellEnd"/>
      <w:r>
        <w:rPr>
          <w:sz w:val="24"/>
          <w:szCs w:val="24"/>
        </w:rPr>
        <w:t xml:space="preserve"> — obrigatórias</w:t>
      </w:r>
    </w:p>
    <w:p w14:paraId="6E5F9A9B" w14:textId="77777777" w:rsidR="00475DDC" w:rsidRDefault="00475DDC">
      <w:pPr>
        <w:spacing w:after="80"/>
      </w:pPr>
    </w:p>
    <w:p w14:paraId="6E5F9A9C" w14:textId="77777777" w:rsidR="00475DDC" w:rsidRDefault="00000000">
      <w:pPr>
        <w:pStyle w:val="Ttulo2"/>
        <w:spacing w:before="200" w:after="80"/>
      </w:pPr>
      <w:r>
        <w:t>Diagnósticos diferenciais a excluir:</w:t>
      </w:r>
    </w:p>
    <w:p w14:paraId="6E5F9A9D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Colite por </w:t>
      </w:r>
      <w:proofErr w:type="spellStart"/>
      <w:r>
        <w:rPr>
          <w:sz w:val="24"/>
          <w:szCs w:val="24"/>
        </w:rPr>
        <w:t>Clostridioides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difficile</w:t>
      </w:r>
      <w:proofErr w:type="spellEnd"/>
      <w:r>
        <w:rPr>
          <w:sz w:val="24"/>
          <w:szCs w:val="24"/>
        </w:rPr>
        <w:t>: diarreia sanguinolenta em paciente com DII pode ser superinfecção — pesquisa de toxinas obrigatória</w:t>
      </w:r>
    </w:p>
    <w:p w14:paraId="6E5F9A9E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Doença de Crohn colônica: distribuição segmentar ("salteada"), comprometimento ileal, granulomas na biópsia, </w:t>
      </w:r>
      <w:proofErr w:type="spellStart"/>
      <w:r>
        <w:rPr>
          <w:sz w:val="24"/>
          <w:szCs w:val="24"/>
        </w:rPr>
        <w:t>poupamento</w:t>
      </w:r>
      <w:proofErr w:type="spellEnd"/>
      <w:r>
        <w:rPr>
          <w:sz w:val="24"/>
          <w:szCs w:val="24"/>
        </w:rPr>
        <w:t xml:space="preserve"> do reto — diferencia da RCU pela colonoscopia</w:t>
      </w:r>
    </w:p>
    <w:p w14:paraId="6E5F9A9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Colite infecciosa (Salmonella, </w:t>
      </w:r>
      <w:proofErr w:type="spellStart"/>
      <w:r>
        <w:rPr>
          <w:sz w:val="24"/>
          <w:szCs w:val="24"/>
        </w:rPr>
        <w:t>Shigella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Campylobacter</w:t>
      </w:r>
      <w:proofErr w:type="spellEnd"/>
      <w:r>
        <w:rPr>
          <w:sz w:val="24"/>
          <w:szCs w:val="24"/>
        </w:rPr>
        <w:t xml:space="preserve">, E. coli </w:t>
      </w:r>
      <w:proofErr w:type="spellStart"/>
      <w:r>
        <w:rPr>
          <w:sz w:val="24"/>
          <w:szCs w:val="24"/>
        </w:rPr>
        <w:t>entero</w:t>
      </w:r>
      <w:proofErr w:type="spellEnd"/>
      <w:r>
        <w:rPr>
          <w:sz w:val="24"/>
          <w:szCs w:val="24"/>
        </w:rPr>
        <w:t>-hemorrágica): coprocultura e história epidemiológica</w:t>
      </w:r>
    </w:p>
    <w:p w14:paraId="6E5F9AA0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Colite isquêmica: mais comum em idosos com fatores vasculares — improvável nesta faixa etária</w:t>
      </w:r>
    </w:p>
    <w:p w14:paraId="6E5F9AA1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Colite por </w:t>
      </w:r>
      <w:proofErr w:type="spellStart"/>
      <w:r>
        <w:rPr>
          <w:sz w:val="24"/>
          <w:szCs w:val="24"/>
        </w:rPr>
        <w:t>AINEs</w:t>
      </w:r>
      <w:proofErr w:type="spellEnd"/>
      <w:r>
        <w:rPr>
          <w:sz w:val="24"/>
          <w:szCs w:val="24"/>
        </w:rPr>
        <w:t>: ibuprofeno usado por 10 dias pode ter contribuído para agravamento, mas o diagnóstico de base já está estabelecido</w:t>
      </w:r>
    </w:p>
    <w:p w14:paraId="6E5F9AA2" w14:textId="77777777" w:rsidR="00475DDC" w:rsidRDefault="00475DDC">
      <w:pPr>
        <w:spacing w:after="80"/>
      </w:pPr>
    </w:p>
    <w:p w14:paraId="6E5F9AA3" w14:textId="77777777" w:rsidR="00475DDC" w:rsidRDefault="00000000">
      <w:pPr>
        <w:pStyle w:val="Ttulo2"/>
        <w:spacing w:before="200" w:after="80"/>
      </w:pPr>
      <w:r>
        <w:t>Tratamento (indicar internação):</w:t>
      </w:r>
    </w:p>
    <w:p w14:paraId="6E5F9AA4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INTERNAÇÃO HOSPITALAR — surto grave com critérios de </w:t>
      </w:r>
      <w:proofErr w:type="spellStart"/>
      <w:r>
        <w:rPr>
          <w:sz w:val="24"/>
          <w:szCs w:val="24"/>
        </w:rPr>
        <w:t>Truelove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Witts</w:t>
      </w:r>
      <w:proofErr w:type="spellEnd"/>
    </w:p>
    <w:p w14:paraId="6E5F9AA5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Hidratação venosa e correção eletrolítica (hipocalemia por diarreia)</w:t>
      </w:r>
    </w:p>
    <w:p w14:paraId="6E5F9AA6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Corticoterapia</w:t>
      </w:r>
      <w:proofErr w:type="spellEnd"/>
      <w:r>
        <w:rPr>
          <w:sz w:val="24"/>
          <w:szCs w:val="24"/>
        </w:rPr>
        <w:t xml:space="preserve"> intravenosa: hidrocortisona 300 mg/dia ou metilprednisolona 60 mg/dia por 5 a 7 dias</w:t>
      </w:r>
    </w:p>
    <w:p w14:paraId="6E5F9AA7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SUSPENDER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imediatamente — risco de megacólon tóxico</w:t>
      </w:r>
    </w:p>
    <w:p w14:paraId="6E5F9AA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SUSPENDER </w:t>
      </w:r>
      <w:proofErr w:type="spellStart"/>
      <w:r>
        <w:rPr>
          <w:sz w:val="24"/>
          <w:szCs w:val="24"/>
        </w:rPr>
        <w:t>AINEs</w:t>
      </w:r>
      <w:proofErr w:type="spellEnd"/>
      <w:r>
        <w:rPr>
          <w:sz w:val="24"/>
          <w:szCs w:val="24"/>
        </w:rPr>
        <w:t xml:space="preserve"> — pioram a RCU</w:t>
      </w:r>
    </w:p>
    <w:p w14:paraId="6E5F9AA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Rastreio de megacólon tóxico: radiografia simples de abdômen diária durante o surto grave</w:t>
      </w:r>
    </w:p>
    <w:p w14:paraId="6E5F9AA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Profilaxia de TVP: heparina de baixo peso molecular (DII é estado pró-trombótico)</w:t>
      </w:r>
    </w:p>
    <w:p w14:paraId="6E5F9AAB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Suporte nutricional: dieta enteral ou parenteral se anorexia grave</w:t>
      </w:r>
    </w:p>
    <w:p w14:paraId="6E5F9AAC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Avaliação em 72 horas: se sem resposta à </w:t>
      </w:r>
      <w:proofErr w:type="spellStart"/>
      <w:r>
        <w:rPr>
          <w:sz w:val="24"/>
          <w:szCs w:val="24"/>
        </w:rPr>
        <w:t>corticoterapia</w:t>
      </w:r>
      <w:proofErr w:type="spellEnd"/>
      <w:r>
        <w:rPr>
          <w:sz w:val="24"/>
          <w:szCs w:val="24"/>
        </w:rPr>
        <w:t xml:space="preserve"> IV → terapia de resgate (infliximabe ou ciclosporina) ou cirurgia (colectomia)</w:t>
      </w:r>
    </w:p>
    <w:p w14:paraId="6E5F9AAD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Manutenção após controle do surto: retomar mesalazina 4g/dia + discussão de escalada terapêutica (</w:t>
      </w:r>
      <w:proofErr w:type="spellStart"/>
      <w:r>
        <w:rPr>
          <w:sz w:val="24"/>
          <w:szCs w:val="24"/>
        </w:rPr>
        <w:t>tiopurinas</w:t>
      </w:r>
      <w:proofErr w:type="spellEnd"/>
      <w:r>
        <w:rPr>
          <w:sz w:val="24"/>
          <w:szCs w:val="24"/>
        </w:rPr>
        <w:t xml:space="preserve"> ou biológicos para prevenção de novos surtos)</w:t>
      </w:r>
    </w:p>
    <w:p w14:paraId="6E5F9AAE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Encaminhamento: Gastroenterologia/DII, Cirurgia do Aparelho Digestivo em </w:t>
      </w:r>
      <w:proofErr w:type="gramStart"/>
      <w:r>
        <w:rPr>
          <w:sz w:val="24"/>
          <w:szCs w:val="24"/>
        </w:rPr>
        <w:t>standby</w:t>
      </w:r>
      <w:proofErr w:type="gramEnd"/>
      <w:r>
        <w:rPr>
          <w:sz w:val="24"/>
          <w:szCs w:val="24"/>
        </w:rPr>
        <w:t>, Serviço Social (afastamento do trabalho)</w:t>
      </w:r>
    </w:p>
    <w:p w14:paraId="6E5F9AAF" w14:textId="77777777" w:rsidR="00475DDC" w:rsidRDefault="00475DDC">
      <w:pPr>
        <w:spacing w:after="80"/>
      </w:pPr>
    </w:p>
    <w:p w14:paraId="6E5F9AB0" w14:textId="77777777" w:rsidR="00475DDC" w:rsidRDefault="00000000">
      <w:pPr>
        <w:pStyle w:val="Ttulo1"/>
        <w:spacing w:before="300" w:after="120"/>
      </w:pPr>
      <w:r>
        <w:t>11. Características do Agente de IA (Persona)</w:t>
      </w:r>
    </w:p>
    <w:p w14:paraId="6E5F9AB1" w14:textId="77777777" w:rsidR="00475DDC" w:rsidRDefault="00000000">
      <w:pPr>
        <w:spacing w:after="80"/>
      </w:pPr>
      <w:r>
        <w:rPr>
          <w:b/>
          <w:bCs/>
          <w:sz w:val="24"/>
          <w:szCs w:val="24"/>
        </w:rPr>
        <w:t xml:space="preserve">Perfil do agente: </w:t>
      </w:r>
      <w:r>
        <w:rPr>
          <w:sz w:val="24"/>
          <w:szCs w:val="24"/>
        </w:rPr>
        <w:t xml:space="preserve">Fernanda Borges Nogueira — 32 anos, professora, letramento alto, DII há 3 anos, muito </w:t>
      </w:r>
      <w:proofErr w:type="gramStart"/>
      <w:r>
        <w:rPr>
          <w:sz w:val="24"/>
          <w:szCs w:val="24"/>
        </w:rPr>
        <w:t>bem informada</w:t>
      </w:r>
      <w:proofErr w:type="gramEnd"/>
      <w:r>
        <w:rPr>
          <w:sz w:val="24"/>
          <w:szCs w:val="24"/>
        </w:rPr>
        <w:t xml:space="preserve"> sobre sua doença. Hostilidade motivada por frustração com o sistema de saúde (consultas rápidas, médicos que não ouviram), medo de cirurgia e colostomia, e necessidade de controle sobre sua própria história clínica.</w:t>
      </w:r>
    </w:p>
    <w:p w14:paraId="6E5F9AB2" w14:textId="77777777" w:rsidR="00475DDC" w:rsidRDefault="00475DDC">
      <w:pPr>
        <w:spacing w:after="80"/>
      </w:pPr>
    </w:p>
    <w:p w14:paraId="6E5F9AB3" w14:textId="77777777" w:rsidR="00475DDC" w:rsidRDefault="00000000">
      <w:pPr>
        <w:pStyle w:val="Ttulo2"/>
        <w:spacing w:before="200" w:after="80"/>
      </w:pPr>
      <w:r>
        <w:t>Padrão de resistência — intelectualização e controle:</w:t>
      </w:r>
    </w:p>
    <w:p w14:paraId="6E5F9AB4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• Chega com diagnóstico pronto e plano terapêutico próprio: "Eu já sei que preciso de prednisona e colonoscopia."</w:t>
      </w:r>
    </w:p>
    <w:p w14:paraId="6E5F9AB5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• Corrige termos médicos com precisão: "Não é colite, é retocolite ulcerativa </w:t>
      </w:r>
      <w:proofErr w:type="spellStart"/>
      <w:r>
        <w:rPr>
          <w:sz w:val="24"/>
          <w:szCs w:val="24"/>
        </w:rPr>
        <w:t>pancolite</w:t>
      </w:r>
      <w:proofErr w:type="spellEnd"/>
      <w:r>
        <w:rPr>
          <w:sz w:val="24"/>
          <w:szCs w:val="24"/>
        </w:rPr>
        <w:t>."</w:t>
      </w:r>
    </w:p>
    <w:p w14:paraId="6E5F9AB6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• Cita artigos: "Li no Lancet </w:t>
      </w:r>
      <w:proofErr w:type="spellStart"/>
      <w:r>
        <w:rPr>
          <w:sz w:val="24"/>
          <w:szCs w:val="24"/>
        </w:rPr>
        <w:t>Gastroenterology</w:t>
      </w:r>
      <w:proofErr w:type="spellEnd"/>
      <w:r>
        <w:rPr>
          <w:sz w:val="24"/>
          <w:szCs w:val="24"/>
        </w:rPr>
        <w:t xml:space="preserve"> que a mesalazina a longo prazo..." — mistura fontes confiáveis e não confiáveis</w:t>
      </w:r>
    </w:p>
    <w:p w14:paraId="6E5F9AB7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• Interrompe o médico: "Isso eu já sei. Pode pular essa parte."</w:t>
      </w:r>
    </w:p>
    <w:p w14:paraId="6E5F9AB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• Resistência a internação: "Não posso ficar internada, tenho turmas esperando."</w:t>
      </w:r>
    </w:p>
    <w:p w14:paraId="6E5F9AB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• Resistência a corticoide IV: "Eu não quero corticoide, engorda e causa osteoporose."</w:t>
      </w:r>
    </w:p>
    <w:p w14:paraId="6E5F9AB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• Esconde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e ibuprofeno por vergonha de saber que são errados</w:t>
      </w:r>
    </w:p>
    <w:p w14:paraId="6E5F9ABB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• Reage mal a qualquer menção de cirurgia: "Não precisa falar nisso. Não vou chegar nesse ponto."</w:t>
      </w:r>
    </w:p>
    <w:p w14:paraId="6E5F9ABC" w14:textId="77777777" w:rsidR="00475DDC" w:rsidRDefault="00475DDC">
      <w:pPr>
        <w:spacing w:after="80"/>
      </w:pPr>
    </w:p>
    <w:p w14:paraId="6E5F9ABD" w14:textId="77777777" w:rsidR="00475DDC" w:rsidRDefault="00000000">
      <w:pPr>
        <w:pStyle w:val="Ttulo2"/>
        <w:spacing w:before="200" w:after="80"/>
      </w:pPr>
      <w:r>
        <w:t>Dado mais protegido — o que Fernanda sabe e esconde:</w:t>
      </w:r>
    </w:p>
    <w:p w14:paraId="6E5F9ABE" w14:textId="77777777" w:rsidR="00475DDC" w:rsidRDefault="00000000">
      <w:pPr>
        <w:spacing w:after="120"/>
      </w:pPr>
      <w:r>
        <w:rPr>
          <w:sz w:val="24"/>
          <w:szCs w:val="24"/>
        </w:rPr>
        <w:t xml:space="preserve">Fernanda sabe que suspendeu a mesalazina — e sabe que foi um erro. Esconde a automedicação com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porque sabe que é contraindicada em surto grave de DII (leu isso em grupos de pacientes). Esconde o ibuprofeno pela mesma razão. O medo central — colostomia como sua prima — alimenta toda a resistência: cada escolha errada que fez foi uma tentativa desesperada de controlar a doença sem depender de médicos que, na experiência dela, não têm tempo para ouvi-la.</w:t>
      </w:r>
    </w:p>
    <w:p w14:paraId="6E5F9ABF" w14:textId="77777777" w:rsidR="00475DDC" w:rsidRDefault="00475DDC">
      <w:pPr>
        <w:spacing w:after="80"/>
      </w:pPr>
    </w:p>
    <w:p w14:paraId="6E5F9AC0" w14:textId="77777777" w:rsidR="00475DDC" w:rsidRDefault="00000000">
      <w:pPr>
        <w:pStyle w:val="Ttulo2"/>
        <w:spacing w:before="200" w:after="80"/>
      </w:pPr>
      <w:r>
        <w:t>Dados que emergem com interrogatório ativo:</w:t>
      </w:r>
    </w:p>
    <w:p w14:paraId="6E5F9AC1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Suspensão da mesalazina: "Eu li sobre </w:t>
      </w:r>
      <w:proofErr w:type="spellStart"/>
      <w:r>
        <w:rPr>
          <w:sz w:val="24"/>
          <w:szCs w:val="24"/>
        </w:rPr>
        <w:t>nefrotoxicidade</w:t>
      </w:r>
      <w:proofErr w:type="spellEnd"/>
      <w:r>
        <w:rPr>
          <w:sz w:val="24"/>
          <w:szCs w:val="24"/>
        </w:rPr>
        <w:t xml:space="preserve"> a longo prazo e decidi tirar uma pausa" — emerge com pergunta direta sobre medicamentos</w:t>
      </w:r>
    </w:p>
    <w:p w14:paraId="6E5F9AC2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>: "Eu sei que não deveria, mas estava desesperada nas aulas" — emerge com pergunta sobre automedicação, sem julgamento</w:t>
      </w:r>
    </w:p>
    <w:p w14:paraId="6E5F9AC3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Ibuprofeno: "Só para a dor nas articulações, já parei" — emerge com pergunta sobre analgésicos usados</w:t>
      </w:r>
    </w:p>
    <w:p w14:paraId="6E5F9AC4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Evacuações noturnas: "Umas 3 vezes por noite, no mínimo" — emerge com pergunta específica sobre sono interrompido</w:t>
      </w:r>
    </w:p>
    <w:p w14:paraId="6E5F9AC5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Volume de sangue: "Tem bastante sangue às vezes, não é só um pouco" — emerge com pergunta sobre cor e quantidade</w:t>
      </w:r>
    </w:p>
    <w:p w14:paraId="6E5F9AC6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Eritema nodoso: "Ah, isso? Achei que era pancada ou alergia" — emerge com exame físico e explicação da manifestação</w:t>
      </w:r>
    </w:p>
    <w:p w14:paraId="6E5F9AC7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Medo de colostomia: "Minha prima operou e usa bolsa até hoje. Eu prefiro morrer </w:t>
      </w:r>
      <w:proofErr w:type="gramStart"/>
      <w:r>
        <w:rPr>
          <w:sz w:val="24"/>
          <w:szCs w:val="24"/>
        </w:rPr>
        <w:t>do que</w:t>
      </w:r>
      <w:proofErr w:type="gramEnd"/>
      <w:r>
        <w:rPr>
          <w:sz w:val="24"/>
          <w:szCs w:val="24"/>
        </w:rPr>
        <w:t xml:space="preserve"> usar bolsa." — emerge com </w:t>
      </w:r>
      <w:proofErr w:type="spellStart"/>
      <w:r>
        <w:rPr>
          <w:sz w:val="24"/>
          <w:szCs w:val="24"/>
        </w:rPr>
        <w:t>rapport</w:t>
      </w:r>
      <w:proofErr w:type="spellEnd"/>
      <w:r>
        <w:rPr>
          <w:sz w:val="24"/>
          <w:szCs w:val="24"/>
        </w:rPr>
        <w:t xml:space="preserve"> estabelecido e pergunta sobre medos</w:t>
      </w:r>
    </w:p>
    <w:p w14:paraId="6E5F9AC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>– Frustração com médicos: "Da última vez o médico ficou 12 minutos e saiu sem me deixar perguntar nada" — emerge naturalmente quando o estudante demonstra interesse genuíno</w:t>
      </w:r>
    </w:p>
    <w:p w14:paraId="6E5F9AC9" w14:textId="77777777" w:rsidR="00475DDC" w:rsidRDefault="00475DDC">
      <w:pPr>
        <w:spacing w:after="80"/>
      </w:pPr>
    </w:p>
    <w:p w14:paraId="6E5F9ACA" w14:textId="77777777" w:rsidR="00475DDC" w:rsidRDefault="00000000">
      <w:pPr>
        <w:pStyle w:val="Ttulo2"/>
        <w:spacing w:before="200" w:after="80"/>
      </w:pPr>
      <w:r>
        <w:t>Reações emocionais do agente (arco emocional):</w:t>
      </w:r>
    </w:p>
    <w:p w14:paraId="6E5F9ACB" w14:textId="77777777" w:rsidR="00475DDC" w:rsidRDefault="00000000">
      <w:pPr>
        <w:spacing w:after="120"/>
      </w:pPr>
      <w:r>
        <w:rPr>
          <w:sz w:val="24"/>
          <w:szCs w:val="24"/>
        </w:rPr>
        <w:t xml:space="preserve">Entrada: controladora, técnica, hostil de forma sofisticada. Com abordagem que demonstra conhecimento e respeito pelo saber da paciente: começa a baixar a guarda — "ok, pelo menos você conhece a doença". Com tempo dado para falar e sentir-se ouvida: revela a suspensão da mesalazina, depois a 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>. Momento de vulnerabilidade real — quando o estudante explica calmamente o risco de megacólon tóxico e a necessidade de internação: "Quanto tempo eu vou precisar ficar internada?" — aceita a internação se o estudante demonstrou respeito, parceria e comprometimento de mantê-la informada em cada etapa. Recusa categoricamente se sentiu que o estudante estava "mandando" ou menosprezando seu conhecimento.</w:t>
      </w:r>
    </w:p>
    <w:p w14:paraId="6E5F9ACC" w14:textId="77777777" w:rsidR="00475DDC" w:rsidRDefault="00475DDC">
      <w:pPr>
        <w:spacing w:after="80"/>
      </w:pPr>
    </w:p>
    <w:p w14:paraId="6E5F9ACD" w14:textId="77777777" w:rsidR="00475DDC" w:rsidRDefault="00000000">
      <w:pPr>
        <w:pStyle w:val="Ttulo1"/>
        <w:spacing w:before="300" w:after="120"/>
      </w:pPr>
      <w:r>
        <w:t>12. Objetivos Educacionais</w:t>
      </w:r>
    </w:p>
    <w:p w14:paraId="6E5F9ACE" w14:textId="77777777" w:rsidR="00475DDC" w:rsidRDefault="00000000">
      <w:pPr>
        <w:spacing w:after="120"/>
      </w:pPr>
      <w:r>
        <w:rPr>
          <w:sz w:val="24"/>
          <w:szCs w:val="24"/>
        </w:rPr>
        <w:t>1. Conduzir anamnese com paciente altamente informada e resistente — estratégia de "aliança terapêutica" em vez de confronto de saberes.</w:t>
      </w:r>
    </w:p>
    <w:p w14:paraId="6E5F9ACF" w14:textId="77777777" w:rsidR="00475DDC" w:rsidRDefault="00000000">
      <w:pPr>
        <w:spacing w:after="120"/>
      </w:pPr>
      <w:r>
        <w:rPr>
          <w:sz w:val="24"/>
          <w:szCs w:val="24"/>
        </w:rPr>
        <w:t xml:space="preserve">2. Aplicar os critérios de </w:t>
      </w:r>
      <w:proofErr w:type="spellStart"/>
      <w:r>
        <w:rPr>
          <w:sz w:val="24"/>
          <w:szCs w:val="24"/>
        </w:rPr>
        <w:t>Truelove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Witts</w:t>
      </w:r>
      <w:proofErr w:type="spellEnd"/>
      <w:r>
        <w:rPr>
          <w:sz w:val="24"/>
          <w:szCs w:val="24"/>
        </w:rPr>
        <w:t xml:space="preserve"> para classificar a gravidade do surto de RCU e reconhecer indicação de internação.</w:t>
      </w:r>
    </w:p>
    <w:p w14:paraId="6E5F9AD0" w14:textId="77777777" w:rsidR="00475DDC" w:rsidRDefault="00000000">
      <w:pPr>
        <w:spacing w:after="120"/>
      </w:pPr>
      <w:r>
        <w:rPr>
          <w:sz w:val="24"/>
          <w:szCs w:val="24"/>
        </w:rPr>
        <w:t>3. Identificar e abordar, sem julgamento, a suspensão não autorizada de medicação de manutenção e o uso de automedicação contraindicada (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 e AINE).</w:t>
      </w:r>
    </w:p>
    <w:p w14:paraId="6E5F9AD1" w14:textId="77777777" w:rsidR="00475DDC" w:rsidRDefault="00000000">
      <w:pPr>
        <w:spacing w:after="120"/>
      </w:pPr>
      <w:r>
        <w:rPr>
          <w:sz w:val="24"/>
          <w:szCs w:val="24"/>
        </w:rPr>
        <w:t xml:space="preserve">4. Reconhecer as manifestações </w:t>
      </w:r>
      <w:proofErr w:type="spellStart"/>
      <w:r>
        <w:rPr>
          <w:sz w:val="24"/>
          <w:szCs w:val="24"/>
        </w:rPr>
        <w:t>extra-intestinais</w:t>
      </w:r>
      <w:proofErr w:type="spellEnd"/>
      <w:r>
        <w:rPr>
          <w:sz w:val="24"/>
          <w:szCs w:val="24"/>
        </w:rPr>
        <w:t xml:space="preserve"> da RCU: artrite periférica, eritema nodoso, </w:t>
      </w:r>
      <w:proofErr w:type="spellStart"/>
      <w:r>
        <w:rPr>
          <w:sz w:val="24"/>
          <w:szCs w:val="24"/>
        </w:rPr>
        <w:t>episclerite</w:t>
      </w:r>
      <w:proofErr w:type="spellEnd"/>
      <w:r>
        <w:rPr>
          <w:sz w:val="24"/>
          <w:szCs w:val="24"/>
        </w:rPr>
        <w:t>, colangite esclerosante primária.</w:t>
      </w:r>
    </w:p>
    <w:p w14:paraId="6E5F9AD2" w14:textId="77777777" w:rsidR="00475DDC" w:rsidRDefault="00000000">
      <w:pPr>
        <w:spacing w:after="120"/>
      </w:pPr>
      <w:r>
        <w:rPr>
          <w:sz w:val="24"/>
          <w:szCs w:val="24"/>
        </w:rPr>
        <w:t>5. Compreender o risco de megacólon tóxico e as condutas que aumentam esse risco (</w:t>
      </w:r>
      <w:proofErr w:type="spellStart"/>
      <w:r>
        <w:rPr>
          <w:sz w:val="24"/>
          <w:szCs w:val="24"/>
        </w:rPr>
        <w:t>loperamida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AINEs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corticoterapia</w:t>
      </w:r>
      <w:proofErr w:type="spellEnd"/>
      <w:r>
        <w:rPr>
          <w:sz w:val="24"/>
          <w:szCs w:val="24"/>
        </w:rPr>
        <w:t xml:space="preserve"> oral em surto grave).</w:t>
      </w:r>
    </w:p>
    <w:p w14:paraId="6E5F9AD3" w14:textId="77777777" w:rsidR="00475DDC" w:rsidRDefault="00000000">
      <w:pPr>
        <w:spacing w:after="120"/>
      </w:pPr>
      <w:r>
        <w:rPr>
          <w:sz w:val="24"/>
          <w:szCs w:val="24"/>
        </w:rPr>
        <w:t xml:space="preserve">6. Indicar o esquema de </w:t>
      </w:r>
      <w:proofErr w:type="spellStart"/>
      <w:r>
        <w:rPr>
          <w:sz w:val="24"/>
          <w:szCs w:val="24"/>
        </w:rPr>
        <w:t>corticoterapia</w:t>
      </w:r>
      <w:proofErr w:type="spellEnd"/>
      <w:r>
        <w:rPr>
          <w:sz w:val="24"/>
          <w:szCs w:val="24"/>
        </w:rPr>
        <w:t xml:space="preserve"> IV para surto grave e conhecer as opções de resgate (infliximabe, ciclosporina) em caso de refratariedade.</w:t>
      </w:r>
    </w:p>
    <w:p w14:paraId="6E5F9AD4" w14:textId="77777777" w:rsidR="00475DDC" w:rsidRDefault="00000000">
      <w:pPr>
        <w:spacing w:after="120"/>
      </w:pPr>
      <w:r>
        <w:rPr>
          <w:sz w:val="24"/>
          <w:szCs w:val="24"/>
        </w:rPr>
        <w:t xml:space="preserve">7. Comunicar a necessidade de internação para uma paciente que resiste, explicando riscos de forma clara e respeitosa, sem </w:t>
      </w:r>
      <w:proofErr w:type="spellStart"/>
      <w:r>
        <w:rPr>
          <w:sz w:val="24"/>
          <w:szCs w:val="24"/>
        </w:rPr>
        <w:t>catastrofizar</w:t>
      </w:r>
      <w:proofErr w:type="spellEnd"/>
      <w:r>
        <w:rPr>
          <w:sz w:val="24"/>
          <w:szCs w:val="24"/>
        </w:rPr>
        <w:t>.</w:t>
      </w:r>
    </w:p>
    <w:p w14:paraId="6E5F9AD5" w14:textId="77777777" w:rsidR="00475DDC" w:rsidRDefault="00000000">
      <w:pPr>
        <w:spacing w:after="120"/>
      </w:pPr>
      <w:r>
        <w:rPr>
          <w:sz w:val="24"/>
          <w:szCs w:val="24"/>
        </w:rPr>
        <w:t>8. Abordar o medo de colostomia com informação baseada em evidências — a cirurgia é reservada para casos refratários e a maioria dos pacientes não chega a ela com tratamento adequado.</w:t>
      </w:r>
    </w:p>
    <w:p w14:paraId="6E5F9AD6" w14:textId="77777777" w:rsidR="00475DDC" w:rsidRDefault="00475DDC">
      <w:pPr>
        <w:spacing w:after="80"/>
      </w:pPr>
    </w:p>
    <w:p w14:paraId="6E5F9AD7" w14:textId="77777777" w:rsidR="00475DDC" w:rsidRDefault="00000000">
      <w:pPr>
        <w:pStyle w:val="Ttulo1"/>
        <w:spacing w:before="300" w:after="120"/>
      </w:pPr>
      <w:r>
        <w:t>13. Referências Bibliográficas</w:t>
      </w:r>
    </w:p>
    <w:p w14:paraId="6E5F9AD8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Truelove</w:t>
      </w:r>
      <w:proofErr w:type="spellEnd"/>
      <w:r>
        <w:rPr>
          <w:sz w:val="24"/>
          <w:szCs w:val="24"/>
        </w:rPr>
        <w:t xml:space="preserve"> SC, </w:t>
      </w:r>
      <w:proofErr w:type="spellStart"/>
      <w:r>
        <w:rPr>
          <w:sz w:val="24"/>
          <w:szCs w:val="24"/>
        </w:rPr>
        <w:t>Witts</w:t>
      </w:r>
      <w:proofErr w:type="spellEnd"/>
      <w:r>
        <w:rPr>
          <w:sz w:val="24"/>
          <w:szCs w:val="24"/>
        </w:rPr>
        <w:t xml:space="preserve"> LJ. </w:t>
      </w:r>
      <w:proofErr w:type="spellStart"/>
      <w:r>
        <w:rPr>
          <w:sz w:val="24"/>
          <w:szCs w:val="24"/>
        </w:rPr>
        <w:t>Cortisone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ulcerative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>. Br Med J. 1955;2(4947):1041-1048.</w:t>
      </w:r>
    </w:p>
    <w:p w14:paraId="6E5F9AD9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Harbord</w:t>
      </w:r>
      <w:proofErr w:type="spellEnd"/>
      <w:r>
        <w:rPr>
          <w:sz w:val="24"/>
          <w:szCs w:val="24"/>
        </w:rPr>
        <w:t xml:space="preserve"> M, Eliakim R, </w:t>
      </w:r>
      <w:proofErr w:type="spellStart"/>
      <w:r>
        <w:rPr>
          <w:sz w:val="24"/>
          <w:szCs w:val="24"/>
        </w:rPr>
        <w:t>Bettenworth</w:t>
      </w:r>
      <w:proofErr w:type="spellEnd"/>
      <w:r>
        <w:rPr>
          <w:sz w:val="24"/>
          <w:szCs w:val="24"/>
        </w:rPr>
        <w:t xml:space="preserve"> D, et al. </w:t>
      </w:r>
      <w:proofErr w:type="spellStart"/>
      <w:r>
        <w:rPr>
          <w:sz w:val="24"/>
          <w:szCs w:val="24"/>
        </w:rPr>
        <w:t>Third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Evidence-based</w:t>
      </w:r>
      <w:proofErr w:type="spellEnd"/>
      <w:r>
        <w:rPr>
          <w:sz w:val="24"/>
          <w:szCs w:val="24"/>
        </w:rPr>
        <w:t xml:space="preserve"> Consensus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Ulcerative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 xml:space="preserve">. J </w:t>
      </w:r>
      <w:proofErr w:type="spellStart"/>
      <w:r>
        <w:rPr>
          <w:sz w:val="24"/>
          <w:szCs w:val="24"/>
        </w:rPr>
        <w:t>Crohns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>. 2017;11(6):649-670.</w:t>
      </w:r>
    </w:p>
    <w:p w14:paraId="6E5F9ADA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Magro F, </w:t>
      </w:r>
      <w:proofErr w:type="spellStart"/>
      <w:r>
        <w:rPr>
          <w:sz w:val="24"/>
          <w:szCs w:val="24"/>
        </w:rPr>
        <w:t>Gionchetti</w:t>
      </w:r>
      <w:proofErr w:type="spellEnd"/>
      <w:r>
        <w:rPr>
          <w:sz w:val="24"/>
          <w:szCs w:val="24"/>
        </w:rPr>
        <w:t xml:space="preserve"> P, Eliakim R, et al. </w:t>
      </w:r>
      <w:proofErr w:type="spellStart"/>
      <w:r>
        <w:rPr>
          <w:sz w:val="24"/>
          <w:szCs w:val="24"/>
        </w:rPr>
        <w:t>Third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Evidence-based</w:t>
      </w:r>
      <w:proofErr w:type="spellEnd"/>
      <w:r>
        <w:rPr>
          <w:sz w:val="24"/>
          <w:szCs w:val="24"/>
        </w:rPr>
        <w:t xml:space="preserve"> Consensus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Ulcerative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 xml:space="preserve">. J </w:t>
      </w:r>
      <w:proofErr w:type="spellStart"/>
      <w:r>
        <w:rPr>
          <w:sz w:val="24"/>
          <w:szCs w:val="24"/>
        </w:rPr>
        <w:t>Crohns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>. 2017;11(6):649-670.</w:t>
      </w:r>
    </w:p>
    <w:p w14:paraId="6E5F9ADB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Sociedade Brasileira de Coloproctologia; Grupo Brasileiro de Estudos em Doença Inflamatória Intestinal (GEDIIB). Consenso Brasileiro sobre Doença Inflamatória Intestinal. </w:t>
      </w:r>
      <w:proofErr w:type="spellStart"/>
      <w:r>
        <w:rPr>
          <w:sz w:val="24"/>
          <w:szCs w:val="24"/>
        </w:rPr>
        <w:t>Arq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Gastroenterol</w:t>
      </w:r>
      <w:proofErr w:type="spellEnd"/>
      <w:r>
        <w:rPr>
          <w:sz w:val="24"/>
          <w:szCs w:val="24"/>
        </w:rPr>
        <w:t xml:space="preserve">. 2010;47 </w:t>
      </w:r>
      <w:proofErr w:type="spellStart"/>
      <w:r>
        <w:rPr>
          <w:sz w:val="24"/>
          <w:szCs w:val="24"/>
        </w:rPr>
        <w:t>Suppl</w:t>
      </w:r>
      <w:proofErr w:type="spellEnd"/>
      <w:r>
        <w:rPr>
          <w:sz w:val="24"/>
          <w:szCs w:val="24"/>
        </w:rPr>
        <w:t xml:space="preserve"> 1:S3-S4.</w:t>
      </w:r>
    </w:p>
    <w:p w14:paraId="6E5F9ADC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Dignass</w:t>
      </w:r>
      <w:proofErr w:type="spellEnd"/>
      <w:r>
        <w:rPr>
          <w:sz w:val="24"/>
          <w:szCs w:val="24"/>
        </w:rPr>
        <w:t xml:space="preserve"> A, Eliakim R, Magro F, et al. </w:t>
      </w:r>
      <w:proofErr w:type="spellStart"/>
      <w:r>
        <w:rPr>
          <w:sz w:val="24"/>
          <w:szCs w:val="24"/>
        </w:rPr>
        <w:t>Second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evidence-based</w:t>
      </w:r>
      <w:proofErr w:type="spellEnd"/>
      <w:r>
        <w:rPr>
          <w:sz w:val="24"/>
          <w:szCs w:val="24"/>
        </w:rPr>
        <w:t xml:space="preserve"> consensus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ulcerative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 xml:space="preserve">. J </w:t>
      </w:r>
      <w:proofErr w:type="spellStart"/>
      <w:r>
        <w:rPr>
          <w:sz w:val="24"/>
          <w:szCs w:val="24"/>
        </w:rPr>
        <w:t>Crohns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>. 2012;6(10):991-1030.</w:t>
      </w:r>
    </w:p>
    <w:p w14:paraId="6E5F9ADD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Feakins</w:t>
      </w:r>
      <w:proofErr w:type="spellEnd"/>
      <w:r>
        <w:rPr>
          <w:sz w:val="24"/>
          <w:szCs w:val="24"/>
        </w:rPr>
        <w:t xml:space="preserve"> RM. </w:t>
      </w:r>
      <w:proofErr w:type="spellStart"/>
      <w:r>
        <w:rPr>
          <w:sz w:val="24"/>
          <w:szCs w:val="24"/>
        </w:rPr>
        <w:t>Ulcerative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colitis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Crohn's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Pitfalls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problems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Histopathology</w:t>
      </w:r>
      <w:proofErr w:type="spellEnd"/>
      <w:r>
        <w:rPr>
          <w:sz w:val="24"/>
          <w:szCs w:val="24"/>
        </w:rPr>
        <w:t>. 2014;64(3):317-335.</w:t>
      </w:r>
    </w:p>
    <w:p w14:paraId="6E5F9ADE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Bernstein CN, </w:t>
      </w:r>
      <w:proofErr w:type="spellStart"/>
      <w:r>
        <w:rPr>
          <w:sz w:val="24"/>
          <w:szCs w:val="24"/>
        </w:rPr>
        <w:t>Fried</w:t>
      </w:r>
      <w:proofErr w:type="spellEnd"/>
      <w:r>
        <w:rPr>
          <w:sz w:val="24"/>
          <w:szCs w:val="24"/>
        </w:rPr>
        <w:t xml:space="preserve"> M, </w:t>
      </w:r>
      <w:proofErr w:type="spellStart"/>
      <w:r>
        <w:rPr>
          <w:sz w:val="24"/>
          <w:szCs w:val="24"/>
        </w:rPr>
        <w:t>Krabshuis</w:t>
      </w:r>
      <w:proofErr w:type="spellEnd"/>
      <w:r>
        <w:rPr>
          <w:sz w:val="24"/>
          <w:szCs w:val="24"/>
        </w:rPr>
        <w:t xml:space="preserve"> JH, et al. World </w:t>
      </w:r>
      <w:proofErr w:type="spellStart"/>
      <w:r>
        <w:rPr>
          <w:sz w:val="24"/>
          <w:szCs w:val="24"/>
        </w:rPr>
        <w:t>Gastroenterology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Organization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Practice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Diagnosis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IBD in 2010. </w:t>
      </w:r>
      <w:proofErr w:type="spellStart"/>
      <w:r>
        <w:rPr>
          <w:sz w:val="24"/>
          <w:szCs w:val="24"/>
        </w:rPr>
        <w:t>Inflamm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Bowel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</w:t>
      </w:r>
      <w:proofErr w:type="spellEnd"/>
      <w:r>
        <w:rPr>
          <w:sz w:val="24"/>
          <w:szCs w:val="24"/>
        </w:rPr>
        <w:t>. 2010;16(1):112-124.</w:t>
      </w:r>
    </w:p>
    <w:p w14:paraId="6E5F9ADF" w14:textId="77777777" w:rsidR="00475DDC" w:rsidRDefault="00000000">
      <w:pPr>
        <w:spacing w:after="80"/>
        <w:ind w:left="400"/>
      </w:pPr>
      <w:r>
        <w:rPr>
          <w:sz w:val="24"/>
          <w:szCs w:val="24"/>
        </w:rPr>
        <w:t xml:space="preserve">– Miller WR, </w:t>
      </w:r>
      <w:proofErr w:type="spellStart"/>
      <w:r>
        <w:rPr>
          <w:sz w:val="24"/>
          <w:szCs w:val="24"/>
        </w:rPr>
        <w:t>Rollnick</w:t>
      </w:r>
      <w:proofErr w:type="spellEnd"/>
      <w:r>
        <w:rPr>
          <w:sz w:val="24"/>
          <w:szCs w:val="24"/>
        </w:rPr>
        <w:t xml:space="preserve"> S. </w:t>
      </w:r>
      <w:proofErr w:type="spellStart"/>
      <w:r>
        <w:rPr>
          <w:sz w:val="24"/>
          <w:szCs w:val="24"/>
        </w:rPr>
        <w:t>Motivational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Interviewing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Helping</w:t>
      </w:r>
      <w:proofErr w:type="spellEnd"/>
      <w:r>
        <w:rPr>
          <w:sz w:val="24"/>
          <w:szCs w:val="24"/>
        </w:rPr>
        <w:t xml:space="preserve"> People </w:t>
      </w:r>
      <w:proofErr w:type="spellStart"/>
      <w:r>
        <w:rPr>
          <w:sz w:val="24"/>
          <w:szCs w:val="24"/>
        </w:rPr>
        <w:t>Change</w:t>
      </w:r>
      <w:proofErr w:type="spellEnd"/>
      <w:r>
        <w:rPr>
          <w:sz w:val="24"/>
          <w:szCs w:val="24"/>
        </w:rPr>
        <w:t xml:space="preserve">. 3rd ed. </w:t>
      </w:r>
      <w:proofErr w:type="spellStart"/>
      <w:r>
        <w:rPr>
          <w:sz w:val="24"/>
          <w:szCs w:val="24"/>
        </w:rPr>
        <w:t>Guilford</w:t>
      </w:r>
      <w:proofErr w:type="spellEnd"/>
      <w:r>
        <w:rPr>
          <w:sz w:val="24"/>
          <w:szCs w:val="24"/>
        </w:rPr>
        <w:t xml:space="preserve"> Press, 2012.</w:t>
      </w:r>
    </w:p>
    <w:sectPr w:rsidR="00475D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256F4"/>
    <w:multiLevelType w:val="hybridMultilevel"/>
    <w:tmpl w:val="763E82D8"/>
    <w:lvl w:ilvl="0" w:tplc="1682C4D4">
      <w:start w:val="1"/>
      <w:numFmt w:val="bullet"/>
      <w:lvlText w:val="●"/>
      <w:lvlJc w:val="left"/>
      <w:pPr>
        <w:ind w:left="720" w:hanging="360"/>
      </w:pPr>
    </w:lvl>
    <w:lvl w:ilvl="1" w:tplc="6BAAE04C">
      <w:start w:val="1"/>
      <w:numFmt w:val="bullet"/>
      <w:lvlText w:val="○"/>
      <w:lvlJc w:val="left"/>
      <w:pPr>
        <w:ind w:left="1440" w:hanging="360"/>
      </w:pPr>
    </w:lvl>
    <w:lvl w:ilvl="2" w:tplc="7B8419CE">
      <w:start w:val="1"/>
      <w:numFmt w:val="bullet"/>
      <w:lvlText w:val="■"/>
      <w:lvlJc w:val="left"/>
      <w:pPr>
        <w:ind w:left="2160" w:hanging="360"/>
      </w:pPr>
    </w:lvl>
    <w:lvl w:ilvl="3" w:tplc="6D6EAA2A">
      <w:start w:val="1"/>
      <w:numFmt w:val="bullet"/>
      <w:lvlText w:val="●"/>
      <w:lvlJc w:val="left"/>
      <w:pPr>
        <w:ind w:left="2880" w:hanging="360"/>
      </w:pPr>
    </w:lvl>
    <w:lvl w:ilvl="4" w:tplc="A1547FEC">
      <w:start w:val="1"/>
      <w:numFmt w:val="bullet"/>
      <w:lvlText w:val="○"/>
      <w:lvlJc w:val="left"/>
      <w:pPr>
        <w:ind w:left="3600" w:hanging="360"/>
      </w:pPr>
    </w:lvl>
    <w:lvl w:ilvl="5" w:tplc="297C07A0">
      <w:start w:val="1"/>
      <w:numFmt w:val="bullet"/>
      <w:lvlText w:val="■"/>
      <w:lvlJc w:val="left"/>
      <w:pPr>
        <w:ind w:left="4320" w:hanging="360"/>
      </w:pPr>
    </w:lvl>
    <w:lvl w:ilvl="6" w:tplc="F7BA4638">
      <w:start w:val="1"/>
      <w:numFmt w:val="bullet"/>
      <w:lvlText w:val="●"/>
      <w:lvlJc w:val="left"/>
      <w:pPr>
        <w:ind w:left="5040" w:hanging="360"/>
      </w:pPr>
    </w:lvl>
    <w:lvl w:ilvl="7" w:tplc="40E4EF02">
      <w:start w:val="1"/>
      <w:numFmt w:val="bullet"/>
      <w:lvlText w:val="●"/>
      <w:lvlJc w:val="left"/>
      <w:pPr>
        <w:ind w:left="5760" w:hanging="360"/>
      </w:pPr>
    </w:lvl>
    <w:lvl w:ilvl="8" w:tplc="A5A08872">
      <w:start w:val="1"/>
      <w:numFmt w:val="bullet"/>
      <w:lvlText w:val="●"/>
      <w:lvlJc w:val="left"/>
      <w:pPr>
        <w:ind w:left="6480" w:hanging="360"/>
      </w:pPr>
    </w:lvl>
  </w:abstractNum>
  <w:num w:numId="1" w16cid:durableId="2039620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DC"/>
    <w:rsid w:val="00475DDC"/>
    <w:rsid w:val="00A53D05"/>
    <w:rsid w:val="00C50ECE"/>
    <w:rsid w:val="00EB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F99F9"/>
  <w15:docId w15:val="{00411EBC-BA73-4EB1-A3C6-81C3FE3D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3610</Words>
  <Characters>19498</Characters>
  <Application>Microsoft Office Word</Application>
  <DocSecurity>0</DocSecurity>
  <Lines>162</Lines>
  <Paragraphs>46</Paragraphs>
  <ScaleCrop>false</ScaleCrop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2026-10-01T00:35:00Z</dcterms:created>
  <dcterms:modified xsi:type="dcterms:W3CDTF">2026-10-01T16:46:00Z</dcterms:modified>
</cp:coreProperties>
</file>