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0"/>
          <w:szCs w:val="20"/>
        </w:rPr>
        <w:t xml:space="preserve">UFPI - CCS - DCG</w:t>
      </w:r>
    </w:p>
    <w:p>
      <w:pPr>
        <w:spacing w:after="40"/>
      </w:pPr>
      <w:r>
        <w:rPr>
          <w:i/>
          <w:iCs/>
          <w:sz w:val="18"/>
          <w:szCs w:val="18"/>
        </w:rPr>
        <w:t xml:space="preserve">Metadados do caso (uso interno — não faz parte do roteiro do aluno)</w:t>
      </w:r>
    </w:p>
    <w:p>
      <w:pPr>
        <w:spacing w:after="40"/>
      </w:pPr>
      <w:r>
        <w:rPr>
          <w:sz w:val="20"/>
          <w:szCs w:val="20"/>
        </w:rPr>
        <w:t xml:space="preserve">Caso nº: 35 | Semana de produção: 5</w:t>
      </w:r>
    </w:p>
    <w:p>
      <w:pPr>
        <w:spacing w:after="40"/>
      </w:pPr>
      <w:r>
        <w:rPr>
          <w:sz w:val="20"/>
          <w:szCs w:val="20"/>
        </w:rPr>
        <w:t xml:space="preserve">Eixo A — Categoria diagnóstica: Neurológico</w:t>
      </w:r>
    </w:p>
    <w:p>
      <w:pPr>
        <w:spacing w:after="40"/>
      </w:pPr>
      <w:r>
        <w:rPr>
          <w:sz w:val="20"/>
          <w:szCs w:val="20"/>
        </w:rPr>
        <w:t xml:space="preserve">Eixo B — Perfil de personalidade/comunicação: Resistente/hostil</w:t>
      </w:r>
    </w:p>
    <w:p>
      <w:pPr>
        <w:spacing w:after="200"/>
      </w:pPr>
      <w:r>
        <w:rPr>
          <w:sz w:val="20"/>
          <w:szCs w:val="20"/>
        </w:rPr>
        <w:t xml:space="preserve">Eixo C — Perfil sociodemográfico: Letramento alto / condição socioeconômica alta</w:t>
      </w:r>
    </w:p>
    <w:p>
      <w:pPr>
        <w:spacing w:after="300"/>
        <w:jc w:val="center"/>
      </w:pPr>
      <w:r>
        <w:rPr>
          <w:b/>
          <w:bCs/>
          <w:sz w:val="32"/>
          <w:szCs w:val="32"/>
        </w:rPr>
        <w:t xml:space="preserve">Caso 35 - Doença de Lyme (Neuroborreliose) em Adolescente</w:t>
      </w:r>
    </w:p>
    <w:p>
      <w:pPr>
        <w:pStyle w:val="Heading1"/>
        <w:spacing w:after="120" w:before="300"/>
      </w:pPr>
      <w:r>
        <w:t xml:space="preserve">1. Identificação</w:t>
      </w:r>
    </w:p>
    <w:p>
      <w:pPr>
        <w:spacing w:after="80"/>
      </w:pPr>
      <w:r>
        <w:rPr>
          <w:b/>
          <w:bCs/>
          <w:sz w:val="24"/>
          <w:szCs w:val="24"/>
        </w:rPr>
        <w:t xml:space="preserve">Nome: </w:t>
      </w:r>
      <w:r>
        <w:rPr>
          <w:sz w:val="24"/>
          <w:szCs w:val="24"/>
        </w:rPr>
        <w:t xml:space="preserve">Isabela Ferreira Castelo Branco</w:t>
      </w:r>
    </w:p>
    <w:p>
      <w:pPr>
        <w:spacing w:after="80"/>
      </w:pPr>
      <w:r>
        <w:rPr>
          <w:b/>
          <w:bCs/>
          <w:sz w:val="24"/>
          <w:szCs w:val="24"/>
        </w:rPr>
        <w:t xml:space="preserve">Idade: </w:t>
      </w:r>
      <w:r>
        <w:rPr>
          <w:sz w:val="24"/>
          <w:szCs w:val="24"/>
        </w:rPr>
        <w:t xml:space="preserve">16 anos</w:t>
      </w:r>
    </w:p>
    <w:p>
      <w:pPr>
        <w:spacing w:after="80"/>
      </w:pPr>
      <w:r>
        <w:rPr>
          <w:b/>
          <w:bCs/>
          <w:sz w:val="24"/>
          <w:szCs w:val="24"/>
        </w:rPr>
        <w:t xml:space="preserve">Data de nascimento: </w:t>
      </w:r>
      <w:r>
        <w:rPr>
          <w:sz w:val="24"/>
          <w:szCs w:val="24"/>
        </w:rPr>
        <w:t xml:space="preserve">22/08/2010</w:t>
      </w:r>
    </w:p>
    <w:p>
      <w:pPr>
        <w:spacing w:after="80"/>
      </w:pPr>
      <w:r>
        <w:rPr>
          <w:b/>
          <w:bCs/>
          <w:sz w:val="24"/>
          <w:szCs w:val="24"/>
        </w:rPr>
        <w:t xml:space="preserve">Sexo: </w:t>
      </w:r>
      <w:r>
        <w:rPr>
          <w:sz w:val="24"/>
          <w:szCs w:val="24"/>
        </w:rPr>
        <w:t xml:space="preserve">Feminino</w:t>
      </w:r>
    </w:p>
    <w:p>
      <w:pPr>
        <w:spacing w:after="80"/>
      </w:pPr>
      <w:r>
        <w:rPr>
          <w:b/>
          <w:bCs/>
          <w:sz w:val="24"/>
          <w:szCs w:val="24"/>
        </w:rPr>
        <w:t xml:space="preserve">Cor (raça): </w:t>
      </w:r>
      <w:r>
        <w:rPr>
          <w:sz w:val="24"/>
          <w:szCs w:val="24"/>
        </w:rPr>
        <w:t xml:space="preserve">Branca</w:t>
      </w:r>
    </w:p>
    <w:p>
      <w:pPr>
        <w:spacing w:after="80"/>
      </w:pPr>
      <w:r>
        <w:rPr>
          <w:b/>
          <w:bCs/>
          <w:sz w:val="24"/>
          <w:szCs w:val="24"/>
        </w:rPr>
        <w:t xml:space="preserve">Estado civil: </w:t>
      </w:r>
      <w:r>
        <w:rPr>
          <w:sz w:val="24"/>
          <w:szCs w:val="24"/>
        </w:rPr>
        <w:t xml:space="preserve">Solteira</w:t>
      </w:r>
    </w:p>
    <w:p>
      <w:pPr>
        <w:spacing w:after="80"/>
      </w:pPr>
      <w:r>
        <w:rPr>
          <w:b/>
          <w:bCs/>
          <w:sz w:val="24"/>
          <w:szCs w:val="24"/>
        </w:rPr>
        <w:t xml:space="preserve">Responsáveis: </w:t>
      </w:r>
      <w:r>
        <w:rPr>
          <w:sz w:val="24"/>
          <w:szCs w:val="24"/>
        </w:rPr>
        <w:t xml:space="preserve">Henrique Castelo Branco (pai, 48 anos, empresário) e Patrícia Ferreira Castelo Branco (mãe, 45 anos, consultora educacional, mestre em educação)</w:t>
      </w:r>
    </w:p>
    <w:p>
      <w:pPr>
        <w:spacing w:after="80"/>
      </w:pPr>
      <w:r>
        <w:rPr>
          <w:b/>
          <w:bCs/>
          <w:sz w:val="24"/>
          <w:szCs w:val="24"/>
        </w:rPr>
        <w:t xml:space="preserve">Nacionalidade: </w:t>
      </w:r>
      <w:r>
        <w:rPr>
          <w:sz w:val="24"/>
          <w:szCs w:val="24"/>
        </w:rPr>
        <w:t xml:space="preserve">Brasileira</w:t>
      </w:r>
    </w:p>
    <w:p>
      <w:pPr>
        <w:spacing w:after="80"/>
      </w:pPr>
      <w:r>
        <w:rPr>
          <w:b/>
          <w:bCs/>
          <w:sz w:val="24"/>
          <w:szCs w:val="24"/>
        </w:rPr>
        <w:t xml:space="preserve">Procedência: </w:t>
      </w:r>
      <w:r>
        <w:rPr>
          <w:sz w:val="24"/>
          <w:szCs w:val="24"/>
        </w:rPr>
        <w:t xml:space="preserve">Teresina - PI</w:t>
      </w:r>
    </w:p>
    <w:p>
      <w:pPr>
        <w:spacing w:after="80"/>
      </w:pPr>
      <w:r>
        <w:rPr>
          <w:b/>
          <w:bCs/>
          <w:sz w:val="24"/>
          <w:szCs w:val="24"/>
        </w:rPr>
        <w:t xml:space="preserve">Escolaridade: </w:t>
      </w:r>
      <w:r>
        <w:rPr>
          <w:sz w:val="24"/>
          <w:szCs w:val="24"/>
        </w:rPr>
        <w:t xml:space="preserve">2º ano do ensino médio — colégio particular (destaque acadêmica até 6 meses atrás)</w:t>
      </w:r>
    </w:p>
    <w:p>
      <w:pPr>
        <w:spacing w:after="80"/>
      </w:pPr>
      <w:r>
        <w:rPr>
          <w:b/>
          <w:bCs/>
          <w:sz w:val="24"/>
          <w:szCs w:val="24"/>
        </w:rPr>
        <w:t xml:space="preserve">Residência atual: </w:t>
      </w:r>
      <w:r>
        <w:rPr>
          <w:sz w:val="24"/>
          <w:szCs w:val="24"/>
        </w:rPr>
        <w:t xml:space="preserve">Casa em condomínio fechado, bairro Fátima, Teresina - PI</w:t>
      </w:r>
    </w:p>
    <w:p>
      <w:pPr>
        <w:spacing w:after="80"/>
      </w:pPr>
      <w:r>
        <w:rPr>
          <w:b/>
          <w:bCs/>
          <w:sz w:val="24"/>
          <w:szCs w:val="24"/>
        </w:rPr>
        <w:t xml:space="preserve">Plano de saúde: </w:t>
      </w:r>
      <w:r>
        <w:rPr>
          <w:sz w:val="24"/>
          <w:szCs w:val="24"/>
        </w:rPr>
        <w:t xml:space="preserve">Unimed Teresina (plano empresarial família)</w:t>
      </w:r>
    </w:p>
    <w:p>
      <w:pPr>
        <w:spacing w:after="80"/>
      </w:pPr>
      <w:r>
        <w:rPr>
          <w:b/>
          <w:bCs/>
          <w:sz w:val="24"/>
          <w:szCs w:val="24"/>
        </w:rPr>
        <w:t xml:space="preserve">Contato de emergência: </w:t>
      </w:r>
      <w:r>
        <w:rPr>
          <w:sz w:val="24"/>
          <w:szCs w:val="24"/>
        </w:rPr>
        <w:t xml:space="preserve">Patrícia Castelo Branco (mãe) — (86) 9XXXX-XXXX</w:t>
      </w:r>
    </w:p>
    <w:p>
      <w:pPr>
        <w:spacing w:after="80"/>
      </w:pPr>
    </w:p>
    <w:p>
      <w:pPr>
        <w:spacing w:after="100"/>
      </w:pPr>
      <w:r>
        <w:rPr>
          <w:i/>
          <w:iCs/>
          <w:color w:val="555555"/>
          <w:sz w:val="22"/>
          <w:szCs w:val="22"/>
        </w:rPr>
        <w:t xml:space="preserve">Isabela chegou à consulta com a mãe. Patrícia (mãe) entrou falando: "Já estivemos em sete médicos. Nenhum encontrou nada. Mas eu pesquisei e sei o que ela tem. Preciso que você leve a sério desta vez." Isabela ficou em silêncio, olhando para o celular, respondendo às perguntas com monossílabos. A mãe frequentemente respondeu no lugar da filha. Isabela mostrou cansaço e descrença: "É igual a todas as outras consultas. Vai dizer que é ansiedade." A hostilidade é dupla: da mãe (combativa, intelectualizada, com pasta de exames) e da adolescente (resignada, retraída, que desistiu de ser ouvida).</w:t>
      </w:r>
    </w:p>
    <w:p>
      <w:pPr>
        <w:spacing w:after="80"/>
      </w:pPr>
    </w:p>
    <w:p>
      <w:pPr>
        <w:pStyle w:val="Heading1"/>
        <w:spacing w:after="120" w:before="300"/>
      </w:pPr>
      <w:r>
        <w:t xml:space="preserve">2. Queixa Principal</w:t>
      </w:r>
    </w:p>
    <w:p>
      <w:pPr>
        <w:spacing w:after="100"/>
      </w:pPr>
      <w:r>
        <w:rPr>
          <w:i/>
          <w:iCs/>
          <w:sz w:val="24"/>
          <w:szCs w:val="24"/>
        </w:rPr>
        <w:t xml:space="preserve">"Ela tem dor nos pés há seis meses. Queimação, formigamento, às vezes parece choque. Ela não consegue mais dormir direito. Nenhum médico achou nada." (mãe)</w:t>
      </w:r>
    </w:p>
    <w:p>
      <w:pPr>
        <w:spacing w:after="100"/>
      </w:pPr>
      <w:r>
        <w:rPr>
          <w:i/>
          <w:iCs/>
          <w:sz w:val="24"/>
          <w:szCs w:val="24"/>
        </w:rPr>
        <w:t xml:space="preserve">"Dói muito. Parece que estou pisando em brasa. À noite piora." (Isabela, quando interrogada diretamente, com o olhar baixo)</w:t>
      </w:r>
    </w:p>
    <w:p>
      <w:pPr>
        <w:spacing w:after="80"/>
      </w:pPr>
    </w:p>
    <w:p>
      <w:pPr>
        <w:pStyle w:val="Heading1"/>
        <w:spacing w:after="120" w:before="300"/>
      </w:pPr>
      <w:r>
        <w:t xml:space="preserve">3. História da Doença Atual</w:t>
      </w:r>
    </w:p>
    <w:p>
      <w:pPr>
        <w:spacing w:after="120"/>
      </w:pPr>
      <w:r>
        <w:rPr>
          <w:sz w:val="24"/>
          <w:szCs w:val="24"/>
        </w:rPr>
        <w:t xml:space="preserve">Isabela era estudante de alto desempenho, participava de competições de matemática e tocava violino. Há aproximadamente 6 meses, após uma viagem à fazenda da família em Corrente (sudoeste do Piauí), iniciou quadro progressivo com sintomas variados que foram ignorados ou atribuídos a causas benignas por múltiplos especialistas.</w:t>
      </w:r>
    </w:p>
    <w:p>
      <w:pPr>
        <w:spacing w:after="80"/>
      </w:pPr>
    </w:p>
    <w:p>
      <w:pPr>
        <w:spacing w:after="120"/>
      </w:pPr>
      <w:r>
        <w:rPr>
          <w:sz w:val="24"/>
          <w:szCs w:val="24"/>
        </w:rPr>
        <w:t xml:space="preserve">Cronologia dos sintomas: Há 6 meses, durante a estadia de 10 dias na fazenda, Isabela foi exposta a carrapatos durante cavalgada e caminhadas em mata de cerrado. Encontrou um carrapato aderido na coxa direita 2 dias após a trilha. Removeu com as mãos. Cinco dias depois, percebeu mancha avermelhada anular na coxa, que foi ao médico local: diagnosticado como "micose" (tinea corporis) — recebeu antifúngico tópico. A lesão desapareceu espontaneamente em 3 semanas sem tratamento específico.</w:t>
      </w:r>
    </w:p>
    <w:p>
      <w:pPr>
        <w:spacing w:after="80"/>
      </w:pPr>
    </w:p>
    <w:p>
      <w:pPr>
        <w:spacing w:after="120"/>
      </w:pPr>
      <w:r>
        <w:rPr>
          <w:sz w:val="24"/>
          <w:szCs w:val="24"/>
        </w:rPr>
        <w:t xml:space="preserve">Quatro semanas após a picada: início de fadiga intensa, cefaleias holocranianas frequentes e mal-estar geral. Atribuído a "estresse escolar". Oito semanas após: artralgia migratória (joelhos, tornozelos, punhos) — sem sinais flogísticos. Atribuída a "crescimento". Doze semanas após: início da dor neuropática em pés — queimação e formigamento bilateral, pior à noite, com alodínia (lençol da cama causa dor). Déficit de memória e concentração — queda do rendimento escolar de ótimo para mediano. Distúrbio do sono.</w:t>
      </w:r>
    </w:p>
    <w:p>
      <w:pPr>
        <w:spacing w:after="80"/>
      </w:pPr>
    </w:p>
    <w:p>
      <w:pPr>
        <w:spacing w:after="120"/>
      </w:pPr>
      <w:r>
        <w:rPr>
          <w:sz w:val="24"/>
          <w:szCs w:val="24"/>
        </w:rPr>
        <w:t xml:space="preserve">Consultas prévias (7 médicos em 6 meses): neurologista (RM de crânio normal, "nada encontrado"), reumatologista (ANA negativo, sem diagnóstico), ortopedista (Rx dos pés normais), clínico geral (sugeriu ansiedade), psiquiatra infantil (avaliou, não confirmou transtorno ansioso como causa primária — mas não investigou causa orgânica). A mãe, com formação acadêmica, pesquisou extensamente e chegou à hipótese de doença de Lyme. Realizou sorologia para Borrelia burgdorferi em laboratório privado em São Paulo: ELISA positivo e Western Blot IgG positivo.</w:t>
      </w:r>
    </w:p>
    <w:p>
      <w:pPr>
        <w:spacing w:after="80"/>
      </w:pPr>
    </w:p>
    <w:p>
      <w:pPr>
        <w:pStyle w:val="Heading2"/>
        <w:spacing w:after="80" w:before="200"/>
      </w:pPr>
      <w:r>
        <w:t xml:space="preserve">Dados que emergem apenas com interrogatório ativo:</w:t>
      </w:r>
    </w:p>
    <w:p>
      <w:pPr>
        <w:spacing w:after="80"/>
        <w:ind w:left="400"/>
      </w:pPr>
      <w:r>
        <w:rPr>
          <w:sz w:val="24"/>
          <w:szCs w:val="24"/>
        </w:rPr>
        <w:t xml:space="preserve">– Carrapato e eritema migrans: Isabela não mencionou espontaneamente pois "o médico disse que era micose e ninguém mais perguntou" — emerge com pergunta direta sobre picadas de inseto e viagens recentes</w:t>
      </w:r>
    </w:p>
    <w:p>
      <w:pPr>
        <w:spacing w:after="80"/>
        <w:ind w:left="400"/>
      </w:pPr>
      <w:r>
        <w:rPr>
          <w:sz w:val="24"/>
          <w:szCs w:val="24"/>
        </w:rPr>
        <w:t xml:space="preserve">– Caráter neuropático da dor: queimação noturna, formigamento, alodínia ao lençol — emerge com pergunta específica sobre tipo de dor e horário de piora</w:t>
      </w:r>
    </w:p>
    <w:p>
      <w:pPr>
        <w:spacing w:after="80"/>
        <w:ind w:left="400"/>
      </w:pPr>
      <w:r>
        <w:rPr>
          <w:sz w:val="24"/>
          <w:szCs w:val="24"/>
        </w:rPr>
        <w:t xml:space="preserve">– Déficit cognitivo (brain fog): "não consigo mais estudar como antes, esqueço as coisas, fico confusa" — emerge somente quando Isabela responde sem interrupção da mãe</w:t>
      </w:r>
    </w:p>
    <w:p>
      <w:pPr>
        <w:spacing w:after="80"/>
        <w:ind w:left="400"/>
      </w:pPr>
      <w:r>
        <w:rPr>
          <w:sz w:val="24"/>
          <w:szCs w:val="24"/>
        </w:rPr>
        <w:t xml:space="preserve">– Distúrbio do sono: acorda 3 a 4 vezes por noite com dor — emerge com pergunta direta sobre sono</w:t>
      </w:r>
    </w:p>
    <w:p>
      <w:pPr>
        <w:spacing w:after="80"/>
        <w:ind w:left="400"/>
      </w:pPr>
      <w:r>
        <w:rPr>
          <w:sz w:val="24"/>
          <w:szCs w:val="24"/>
        </w:rPr>
        <w:t xml:space="preserve">– Impacto emocional: "Eu desisti de tocar violino. Não aguento mais tentar e não conseguir." — emerge com rapport direto com a adolescente, sem a mãe na sala</w:t>
      </w:r>
    </w:p>
    <w:p>
      <w:pPr>
        <w:spacing w:after="80"/>
        <w:ind w:left="400"/>
      </w:pPr>
      <w:r>
        <w:rPr>
          <w:sz w:val="24"/>
          <w:szCs w:val="24"/>
        </w:rPr>
        <w:t xml:space="preserve">– Paresia facial transitória: há 3 meses, percebeu dificuldade leve para fechar o olho esquerdo por 2 semanas — não contou para ninguém porque "não sabia se era real" — emerge com pergunta sobre alterações em face e visão</w:t>
      </w:r>
    </w:p>
    <w:p>
      <w:pPr>
        <w:spacing w:after="80"/>
        <w:ind w:left="400"/>
      </w:pPr>
      <w:r>
        <w:rPr>
          <w:sz w:val="24"/>
          <w:szCs w:val="24"/>
        </w:rPr>
        <w:t xml:space="preserve">– Artralgia migratória: joelhos, tornozelos, punhos em diferentes semanas — emerge com pergunta sistemática sobre articulações</w:t>
      </w:r>
    </w:p>
    <w:p>
      <w:pPr>
        <w:spacing w:after="80"/>
        <w:ind w:left="400"/>
      </w:pPr>
      <w:r>
        <w:rPr>
          <w:sz w:val="24"/>
          <w:szCs w:val="24"/>
        </w:rPr>
        <w:t xml:space="preserve">– Descrença e abandono: "Já desisti de acreditar que alguém vai me ajudar" — emerge com conversa exclusiva com Isabela, sem a mãe</w:t>
      </w:r>
    </w:p>
    <w:p>
      <w:pPr>
        <w:spacing w:after="80"/>
      </w:pPr>
    </w:p>
    <w:p>
      <w:pPr>
        <w:pStyle w:val="Heading1"/>
        <w:spacing w:after="120" w:before="300"/>
      </w:pPr>
      <w:r>
        <w:t xml:space="preserve">4. Interrogatório Complementar (por sistemas)</w:t>
      </w:r>
    </w:p>
    <w:p>
      <w:pPr>
        <w:spacing w:after="80"/>
      </w:pPr>
      <w:r>
        <w:rPr>
          <w:b/>
          <w:bCs/>
          <w:sz w:val="24"/>
          <w:szCs w:val="24"/>
        </w:rPr>
        <w:t xml:space="preserve">Geral: </w:t>
      </w:r>
      <w:r>
        <w:rPr>
          <w:sz w:val="24"/>
          <w:szCs w:val="24"/>
        </w:rPr>
        <w:t xml:space="preserve">Fadiga intensa e persistente há 6 meses (antes era atlética e ativa). Perda de 3 kg no período. Febre baixa nas primeiras semanas — sem febre atual.</w:t>
      </w:r>
    </w:p>
    <w:p>
      <w:pPr>
        <w:spacing w:after="80"/>
      </w:pPr>
      <w:r>
        <w:rPr>
          <w:b/>
          <w:bCs/>
          <w:sz w:val="24"/>
          <w:szCs w:val="24"/>
        </w:rPr>
        <w:t xml:space="preserve">Neurológico: </w:t>
      </w:r>
      <w:r>
        <w:rPr>
          <w:sz w:val="24"/>
          <w:szCs w:val="24"/>
        </w:rPr>
        <w:t xml:space="preserve">Dor neuropática em pés (queimação, formigamento, choque, alodínia) bilateral, pior à noite. Déficit de memória recente e concentração. Cefaleia holocraniana frequente. Paresia facial esquerda transitória há 3 meses (2 semanas de duração, resolução espontânea — não investigada). Sem alteração de consciência ou convulsões.</w:t>
      </w:r>
    </w:p>
    <w:p>
      <w:pPr>
        <w:spacing w:after="80"/>
      </w:pPr>
      <w:r>
        <w:rPr>
          <w:b/>
          <w:bCs/>
          <w:sz w:val="24"/>
          <w:szCs w:val="24"/>
        </w:rPr>
        <w:t xml:space="preserve">Musculoesquelético: </w:t>
      </w:r>
      <w:r>
        <w:rPr>
          <w:sz w:val="24"/>
          <w:szCs w:val="24"/>
        </w:rPr>
        <w:t xml:space="preserve">Artralgia migratória: joelhos, tornozelos, punhos — dor variável, sem sinais flogísticos, sem rigidez matinal prolongada.</w:t>
      </w:r>
    </w:p>
    <w:p>
      <w:pPr>
        <w:spacing w:after="80"/>
      </w:pPr>
      <w:r>
        <w:rPr>
          <w:b/>
          <w:bCs/>
          <w:sz w:val="24"/>
          <w:szCs w:val="24"/>
        </w:rPr>
        <w:t xml:space="preserve">Cardiovascular: </w:t>
      </w:r>
      <w:r>
        <w:rPr>
          <w:sz w:val="24"/>
          <w:szCs w:val="24"/>
        </w:rPr>
        <w:t xml:space="preserve">Palpitações ocasionais, sem dor precordial, sem síncope. (Atenção: bloqueio AV é manifestação cardíaca da doença de Lyme — solicitar ECG.)</w:t>
      </w:r>
    </w:p>
    <w:p>
      <w:pPr>
        <w:spacing w:after="80"/>
      </w:pPr>
      <w:r>
        <w:rPr>
          <w:b/>
          <w:bCs/>
          <w:sz w:val="24"/>
          <w:szCs w:val="24"/>
        </w:rPr>
        <w:t xml:space="preserve">Pele: </w:t>
      </w:r>
      <w:r>
        <w:rPr>
          <w:sz w:val="24"/>
          <w:szCs w:val="24"/>
        </w:rPr>
        <w:t xml:space="preserve">Lesão anular eritematosa na coxa direita há 6 meses — duração 3 semanas, resolução espontânea. Sem outras lesões cutâneas atuais.</w:t>
      </w:r>
    </w:p>
    <w:p>
      <w:pPr>
        <w:spacing w:after="80"/>
      </w:pPr>
      <w:r>
        <w:rPr>
          <w:b/>
          <w:bCs/>
          <w:sz w:val="24"/>
          <w:szCs w:val="24"/>
        </w:rPr>
        <w:t xml:space="preserve">Oftalmológico: </w:t>
      </w:r>
      <w:r>
        <w:rPr>
          <w:sz w:val="24"/>
          <w:szCs w:val="24"/>
        </w:rPr>
        <w:t xml:space="preserve">Sem olho vermelho, sem diplopia, sem alteração visual atual.</w:t>
      </w:r>
    </w:p>
    <w:p>
      <w:pPr>
        <w:spacing w:after="80"/>
      </w:pPr>
      <w:r>
        <w:rPr>
          <w:b/>
          <w:bCs/>
          <w:sz w:val="24"/>
          <w:szCs w:val="24"/>
        </w:rPr>
        <w:t xml:space="preserve">Gastrointestinal: </w:t>
      </w:r>
      <w:r>
        <w:rPr>
          <w:sz w:val="24"/>
          <w:szCs w:val="24"/>
        </w:rPr>
        <w:t xml:space="preserve">Anorexia moderada. Sem náuseas, vômitos ou diarreia.</w:t>
      </w:r>
    </w:p>
    <w:p>
      <w:pPr>
        <w:spacing w:after="80"/>
      </w:pPr>
      <w:r>
        <w:rPr>
          <w:b/>
          <w:bCs/>
          <w:sz w:val="24"/>
          <w:szCs w:val="24"/>
        </w:rPr>
        <w:t xml:space="preserve">Geniturinário: </w:t>
      </w:r>
      <w:r>
        <w:rPr>
          <w:sz w:val="24"/>
          <w:szCs w:val="24"/>
        </w:rPr>
        <w:t xml:space="preserve">Menarca aos 12 anos. Ciclos irregulares desde o início dos sintomas. Sem disúria.</w:t>
      </w:r>
    </w:p>
    <w:p>
      <w:pPr>
        <w:spacing w:after="80"/>
      </w:pPr>
      <w:r>
        <w:rPr>
          <w:b/>
          <w:bCs/>
          <w:sz w:val="24"/>
          <w:szCs w:val="24"/>
        </w:rPr>
        <w:t xml:space="preserve">Respiratório: </w:t>
      </w:r>
      <w:r>
        <w:rPr>
          <w:sz w:val="24"/>
          <w:szCs w:val="24"/>
        </w:rPr>
        <w:t xml:space="preserve">Sem tosse, sem dispneia.</w:t>
      </w:r>
    </w:p>
    <w:p>
      <w:pPr>
        <w:spacing w:after="80"/>
      </w:pPr>
      <w:r>
        <w:rPr>
          <w:b/>
          <w:bCs/>
          <w:sz w:val="24"/>
          <w:szCs w:val="24"/>
        </w:rPr>
        <w:t xml:space="preserve">Psiquiátrico: </w:t>
      </w:r>
      <w:r>
        <w:rPr>
          <w:sz w:val="24"/>
          <w:szCs w:val="24"/>
        </w:rPr>
        <w:t xml:space="preserve">Tristeza e desânimo secundários ao sofrimento crônico e à descrença médica acumulada. Sem ideação suicida. Psiquiatra avaliou: "sintomas reativos ao adoecimento, não transtorno primário".</w:t>
      </w:r>
    </w:p>
    <w:p>
      <w:pPr>
        <w:spacing w:after="80"/>
      </w:pPr>
    </w:p>
    <w:p>
      <w:pPr>
        <w:pStyle w:val="Heading1"/>
        <w:spacing w:after="120" w:before="300"/>
      </w:pPr>
      <w:r>
        <w:t xml:space="preserve">5. Antecedentes Pessoais</w:t>
      </w:r>
    </w:p>
    <w:p>
      <w:pPr>
        <w:spacing w:after="80"/>
      </w:pPr>
      <w:r>
        <w:rPr>
          <w:b/>
          <w:bCs/>
          <w:sz w:val="24"/>
          <w:szCs w:val="24"/>
        </w:rPr>
        <w:t xml:space="preserve">Gestação e nascimento: </w:t>
      </w:r>
      <w:r>
        <w:rPr>
          <w:sz w:val="24"/>
          <w:szCs w:val="24"/>
        </w:rPr>
        <w:t xml:space="preserve">A termo, sem intercorrências. Parto cesáreo eletivo.</w:t>
      </w:r>
    </w:p>
    <w:p>
      <w:pPr>
        <w:spacing w:after="80"/>
      </w:pPr>
      <w:r>
        <w:rPr>
          <w:b/>
          <w:bCs/>
          <w:sz w:val="24"/>
          <w:szCs w:val="24"/>
        </w:rPr>
        <w:t xml:space="preserve">Desenvolvimento: </w:t>
      </w:r>
      <w:r>
        <w:rPr>
          <w:sz w:val="24"/>
          <w:szCs w:val="24"/>
        </w:rPr>
        <w:t xml:space="preserve">Normal e acelerado. Leitura aos 4 anos. Destaque em matemática e música (violino desde os 7 anos). Atleta de natação até 6 meses atrás.</w:t>
      </w:r>
    </w:p>
    <w:p>
      <w:pPr>
        <w:spacing w:after="80"/>
      </w:pPr>
      <w:r>
        <w:rPr>
          <w:b/>
          <w:bCs/>
          <w:sz w:val="24"/>
          <w:szCs w:val="24"/>
        </w:rPr>
        <w:t xml:space="preserve">Doenças anteriores: </w:t>
      </w:r>
      <w:r>
        <w:rPr>
          <w:sz w:val="24"/>
          <w:szCs w:val="24"/>
        </w:rPr>
        <w:t xml:space="preserve">Rinite alérgica leve em tratamento com anti-histamínico. Nega internações prévias. Nega doenças reumatológicas, neurológicas ou infecciosas prévias de importância.</w:t>
      </w:r>
    </w:p>
    <w:p>
      <w:pPr>
        <w:spacing w:after="80"/>
      </w:pPr>
      <w:r>
        <w:rPr>
          <w:b/>
          <w:bCs/>
          <w:sz w:val="24"/>
          <w:szCs w:val="24"/>
        </w:rPr>
        <w:t xml:space="preserve">Cirurgias: </w:t>
      </w:r>
      <w:r>
        <w:rPr>
          <w:sz w:val="24"/>
          <w:szCs w:val="24"/>
        </w:rPr>
        <w:t xml:space="preserve">Nega.</w:t>
      </w:r>
    </w:p>
    <w:p>
      <w:pPr>
        <w:spacing w:after="80"/>
      </w:pPr>
      <w:r>
        <w:rPr>
          <w:b/>
          <w:bCs/>
          <w:sz w:val="24"/>
          <w:szCs w:val="24"/>
        </w:rPr>
        <w:t xml:space="preserve">Transfusões: </w:t>
      </w:r>
      <w:r>
        <w:rPr>
          <w:sz w:val="24"/>
          <w:szCs w:val="24"/>
        </w:rPr>
        <w:t xml:space="preserve">Nega.</w:t>
      </w:r>
    </w:p>
    <w:p>
      <w:pPr>
        <w:spacing w:after="80"/>
      </w:pPr>
      <w:r>
        <w:rPr>
          <w:b/>
          <w:bCs/>
          <w:sz w:val="24"/>
          <w:szCs w:val="24"/>
        </w:rPr>
        <w:t xml:space="preserve">Medicamentos em uso: </w:t>
      </w:r>
      <w:r>
        <w:rPr>
          <w:sz w:val="24"/>
          <w:szCs w:val="24"/>
        </w:rPr>
        <w:t xml:space="preserve">Loratadina 10 mg/dia (rinite). Dipirona e ibuprofeno ocasionais para dor (sem alívio satisfatório). Suplemento de vitamina D (iniciado pela mãe por conta própria). Nega uso de antibióticos nos últimos 12 meses.</w:t>
      </w:r>
    </w:p>
    <w:p>
      <w:pPr>
        <w:spacing w:after="80"/>
      </w:pPr>
      <w:r>
        <w:rPr>
          <w:b/>
          <w:bCs/>
          <w:sz w:val="24"/>
          <w:szCs w:val="24"/>
        </w:rPr>
        <w:t xml:space="preserve">Alergias: </w:t>
      </w:r>
      <w:r>
        <w:rPr>
          <w:sz w:val="24"/>
          <w:szCs w:val="24"/>
        </w:rPr>
        <w:t xml:space="preserve">Nega alergias medicamentosas conhecidas.</w:t>
      </w:r>
    </w:p>
    <w:p>
      <w:pPr>
        <w:spacing w:after="80"/>
      </w:pPr>
      <w:r>
        <w:rPr>
          <w:b/>
          <w:bCs/>
          <w:sz w:val="24"/>
          <w:szCs w:val="24"/>
        </w:rPr>
        <w:t xml:space="preserve">Vacinação: </w:t>
      </w:r>
      <w:r>
        <w:rPr>
          <w:sz w:val="24"/>
          <w:szCs w:val="24"/>
        </w:rPr>
        <w:t xml:space="preserve">Calendário vacinal em dia. HPV (2 doses). Meningocócica ACWY.</w:t>
      </w:r>
    </w:p>
    <w:p>
      <w:pPr>
        <w:spacing w:after="80"/>
      </w:pPr>
    </w:p>
    <w:p>
      <w:pPr>
        <w:pStyle w:val="Heading1"/>
        <w:spacing w:after="120" w:before="300"/>
      </w:pPr>
      <w:r>
        <w:t xml:space="preserve">6. Observações Específicas (Neurológico — Doença de Lyme / Neuroborreliose)</w:t>
      </w:r>
    </w:p>
    <w:p>
      <w:pPr>
        <w:pStyle w:val="Heading2"/>
        <w:spacing w:after="80" w:before="200"/>
      </w:pPr>
      <w:r>
        <w:t xml:space="preserve">Contexto epidemiológico brasileiro — ponto crítico:</w:t>
      </w:r>
    </w:p>
    <w:p>
      <w:pPr>
        <w:spacing w:after="120"/>
      </w:pPr>
      <w:r>
        <w:rPr>
          <w:sz w:val="24"/>
          <w:szCs w:val="24"/>
        </w:rPr>
        <w:t xml:space="preserve">A doença de Lyme clássica é causada por Borrelia burgdorferi sensu stricto, transmitida por carrapatos do gênero Ixodes, prevalente no Hemisfério Norte. No Brasil, existe a "Síndrome/Doença Semelhante à Doença de Lyme" (SDSL) — reconhecida pelo Ministério da Saúde —, transmitida possivelmente por Amblyomma cajennense e causada por espécies de Borrelia ainda em investigação (B. burgdorferi sensu lato, B. turicatae). A sorologia padrão americana (ELISA + Western Blot para B. burgdorferi s.s.) pode ser positiva cruzada com outras borrelioses ou negativa em infecção por espécies brasileiras. O diagnóstico no Brasil é essencialmente clínico-epidemiológico.</w:t>
      </w:r>
    </w:p>
    <w:p>
      <w:pPr>
        <w:spacing w:after="80"/>
      </w:pPr>
    </w:p>
    <w:p>
      <w:pPr>
        <w:pStyle w:val="Heading2"/>
        <w:spacing w:after="80" w:before="200"/>
      </w:pPr>
      <w:r>
        <w:t xml:space="preserve">Estadiamento clínico da doença de Lyme de Isabela:</w:t>
      </w:r>
    </w:p>
    <w:p>
      <w:pPr>
        <w:spacing w:after="80"/>
        <w:ind w:left="400"/>
      </w:pPr>
      <w:r>
        <w:rPr>
          <w:sz w:val="24"/>
          <w:szCs w:val="24"/>
        </w:rPr>
        <w:t xml:space="preserve">– Estágio 1 — Localizada (semanas 1-3): Eritema migrans na coxa direita após picada de carrapato — diagnosticado erroneamente como tinea corporis. Este dado é central e foi perdido na história clínica de todos os médicos anteriores.</w:t>
      </w:r>
    </w:p>
    <w:p>
      <w:pPr>
        <w:spacing w:after="80"/>
        <w:ind w:left="400"/>
      </w:pPr>
      <w:r>
        <w:rPr>
          <w:sz w:val="24"/>
          <w:szCs w:val="24"/>
        </w:rPr>
        <w:t xml:space="preserve">– Estágio 2 — Disseminada precoce (semanas 4-12): Fadiga, cefaleia, artralgia migratória. Paresia facial esquerda transitória (paralisia de Bell por neuroborreliose) — não investigada.</w:t>
      </w:r>
    </w:p>
    <w:p>
      <w:pPr>
        <w:spacing w:after="80"/>
        <w:ind w:left="400"/>
      </w:pPr>
      <w:r>
        <w:rPr>
          <w:sz w:val="24"/>
          <w:szCs w:val="24"/>
        </w:rPr>
        <w:t xml:space="preserve">– Estágio 3 — Disseminada tardia (semanas 12 em diante): Neuropatia periférica de pequenas fibras (dor neuropática em pés — principal queixa atual), déficit cognitivo (brain fog), distúrbio do sono.</w:t>
      </w:r>
    </w:p>
    <w:p>
      <w:pPr>
        <w:spacing w:after="80"/>
      </w:pPr>
    </w:p>
    <w:p>
      <w:pPr>
        <w:pStyle w:val="Heading2"/>
        <w:spacing w:after="80" w:before="200"/>
      </w:pPr>
      <w:r>
        <w:t xml:space="preserve">Neuropatia de pequenas fibras na doença de Lyme:</w:t>
      </w:r>
    </w:p>
    <w:p>
      <w:pPr>
        <w:spacing w:after="120"/>
      </w:pPr>
      <w:r>
        <w:rPr>
          <w:sz w:val="24"/>
          <w:szCs w:val="24"/>
        </w:rPr>
        <w:t xml:space="preserve">A dor neuropática em pés de Isabela representa neuropatia de pequenas fibras (small fiber neuropathy — SFN), que compromete fibras Aδ e C responsáveis pela dor, temperatura e função autonômica. O exame neurológico convencional (força, reflexos, sensibilidade vibratória) pode ser normal — por isso todos os exames anteriores foram "normais". O diagnóstico exige: quantitative sensory testing (QST) ou biópsia de pele com quantificação da densidade de fibras intraepidérmicas (IENFD) — padrão ouro.</w:t>
      </w:r>
    </w:p>
    <w:p>
      <w:pPr>
        <w:spacing w:after="80"/>
      </w:pPr>
    </w:p>
    <w:p>
      <w:pPr>
        <w:spacing w:after="100"/>
      </w:pPr>
      <w:r>
        <w:rPr>
          <w:i/>
          <w:iCs/>
          <w:color w:val="555555"/>
          <w:sz w:val="22"/>
          <w:szCs w:val="22"/>
        </w:rPr>
        <w:t xml:space="preserve">[Dado educacional: a neuropatia de pequenas fibras não é detectada pela eletroneuromiografia convencional (ENMG), que avalia apenas fibras mielinizadas grandes. Muitos pacientes com SFN têm ENMG normal e são rotulados como funcionais. A biópsia de pele ou o teste de suor (QSART) são os métodos diagnósticos corretos.]</w:t>
      </w:r>
    </w:p>
    <w:p>
      <w:pPr>
        <w:spacing w:after="80"/>
      </w:pPr>
    </w:p>
    <w:p>
      <w:pPr>
        <w:pStyle w:val="Heading2"/>
        <w:spacing w:after="80" w:before="200"/>
      </w:pPr>
      <w:r>
        <w:t xml:space="preserve">Eritema migrans — a chave diagnóstica perdida:</w:t>
      </w:r>
    </w:p>
    <w:p>
      <w:pPr>
        <w:spacing w:after="120"/>
      </w:pPr>
      <w:r>
        <w:rPr>
          <w:sz w:val="24"/>
          <w:szCs w:val="24"/>
        </w:rPr>
        <w:t xml:space="preserve">O eritema migrans é patognomônico da doença de Lyme/SDSL: mancha eritematosa centrífuga anular com centro claro ("em alvo" ou "olho de boi"), surgindo 3 a 32 dias após picada de carrapato, com expansão progressiva (&gt; 5 cm), desaparecendo espontaneamente em semanas. Em Isabela, foi diagnosticado como tinea corporis e tratado com antifúngico — a lesão regrediu, e o diagnóstico correto foi perdido. Todos os sintomas subsequentes derivam da disseminação hematogênica não tratada.</w:t>
      </w:r>
    </w:p>
    <w:p>
      <w:pPr>
        <w:spacing w:after="80"/>
      </w:pPr>
    </w:p>
    <w:p>
      <w:pPr>
        <w:pStyle w:val="Heading1"/>
        <w:spacing w:after="120" w:before="300"/>
      </w:pPr>
      <w:r>
        <w:t xml:space="preserve">7. Antecedentes Familiares</w:t>
      </w:r>
    </w:p>
    <w:p>
      <w:pPr>
        <w:spacing w:after="80"/>
      </w:pPr>
      <w:r>
        <w:rPr>
          <w:b/>
          <w:bCs/>
          <w:sz w:val="24"/>
          <w:szCs w:val="24"/>
        </w:rPr>
        <w:t xml:space="preserve">Pai: </w:t>
      </w:r>
      <w:r>
        <w:rPr>
          <w:sz w:val="24"/>
          <w:szCs w:val="24"/>
        </w:rPr>
        <w:t xml:space="preserve">Henrique, 48 anos. Hipertensão arterial e dislipidemia em tratamento. Sem doenças neurológicas.</w:t>
      </w:r>
    </w:p>
    <w:p>
      <w:pPr>
        <w:spacing w:after="80"/>
      </w:pPr>
      <w:r>
        <w:rPr>
          <w:b/>
          <w:bCs/>
          <w:sz w:val="24"/>
          <w:szCs w:val="24"/>
        </w:rPr>
        <w:t xml:space="preserve">Mãe: </w:t>
      </w:r>
      <w:r>
        <w:rPr>
          <w:sz w:val="24"/>
          <w:szCs w:val="24"/>
        </w:rPr>
        <w:t xml:space="preserve">Patrícia, 45 anos. Hipotireoidismo autoimune (tireoidite de Hashimoto) em uso de levotiroxina. Rinite alérgica.</w:t>
      </w:r>
    </w:p>
    <w:p>
      <w:pPr>
        <w:spacing w:after="80"/>
      </w:pPr>
      <w:r>
        <w:rPr>
          <w:b/>
          <w:bCs/>
          <w:sz w:val="24"/>
          <w:szCs w:val="24"/>
        </w:rPr>
        <w:t xml:space="preserve">Irmão: </w:t>
      </w:r>
      <w:r>
        <w:rPr>
          <w:sz w:val="24"/>
          <w:szCs w:val="24"/>
        </w:rPr>
        <w:t xml:space="preserve">Gabriel, 13 anos. Saudável.</w:t>
      </w:r>
    </w:p>
    <w:p>
      <w:pPr>
        <w:spacing w:after="80"/>
      </w:pPr>
      <w:r>
        <w:rPr>
          <w:b/>
          <w:bCs/>
          <w:sz w:val="24"/>
          <w:szCs w:val="24"/>
        </w:rPr>
        <w:t xml:space="preserve">Sem histórico familiar de: </w:t>
      </w:r>
      <w:r>
        <w:rPr>
          <w:sz w:val="24"/>
          <w:szCs w:val="24"/>
        </w:rPr>
        <w:t xml:space="preserve">Doenças reumatológicas autoimunes graves, esclerose múltipla, neuropatias hereditárias, fibromialgia familiar.</w:t>
      </w:r>
    </w:p>
    <w:p>
      <w:pPr>
        <w:spacing w:after="100"/>
      </w:pPr>
      <w:r>
        <w:rPr>
          <w:i/>
          <w:iCs/>
          <w:color w:val="555555"/>
          <w:sz w:val="22"/>
          <w:szCs w:val="22"/>
        </w:rPr>
        <w:t xml:space="preserve">[Histórico materno de doença autoimune (Hashimoto) é relevante para o diagnóstico diferencial: doenças autoimunes têm agregação familiar. Hipotireoidismo materno aumenta a probabilidade de hipotireoidismo em Isabela — deve ser rastreado.]</w:t>
      </w:r>
    </w:p>
    <w:p>
      <w:pPr>
        <w:spacing w:after="80"/>
      </w:pPr>
    </w:p>
    <w:p>
      <w:pPr>
        <w:pStyle w:val="Heading1"/>
        <w:spacing w:after="120" w:before="300"/>
      </w:pPr>
      <w:r>
        <w:t xml:space="preserve">8. História Social e Hábitos de Vida</w:t>
      </w:r>
    </w:p>
    <w:p>
      <w:pPr>
        <w:spacing w:after="80"/>
      </w:pPr>
      <w:r>
        <w:rPr>
          <w:b/>
          <w:bCs/>
          <w:sz w:val="24"/>
          <w:szCs w:val="24"/>
        </w:rPr>
        <w:t xml:space="preserve">Situação socioeconômica: </w:t>
      </w:r>
      <w:r>
        <w:rPr>
          <w:sz w:val="24"/>
          <w:szCs w:val="24"/>
        </w:rPr>
        <w:t xml:space="preserve">Alta. Família de alta renda. Pai empresário (rede de distribuidoras). Mãe consultora educacional. Casa em condomínio, dois carros, viagens regulares (Brasil e exterior). Isabela estuda em colégio particular de referência em Teresina.</w:t>
      </w:r>
    </w:p>
    <w:p>
      <w:pPr>
        <w:spacing w:after="80"/>
      </w:pPr>
      <w:r>
        <w:rPr>
          <w:b/>
          <w:bCs/>
          <w:sz w:val="24"/>
          <w:szCs w:val="24"/>
        </w:rPr>
        <w:t xml:space="preserve">Moradia: </w:t>
      </w:r>
      <w:r>
        <w:rPr>
          <w:sz w:val="24"/>
          <w:szCs w:val="24"/>
        </w:rPr>
        <w:t xml:space="preserve">Casa em condomínio fechado, bairro Fátima, Teresina - PI. Quarto individual.</w:t>
      </w:r>
    </w:p>
    <w:p>
      <w:pPr>
        <w:spacing w:after="80"/>
      </w:pPr>
      <w:r>
        <w:rPr>
          <w:b/>
          <w:bCs/>
          <w:sz w:val="24"/>
          <w:szCs w:val="24"/>
        </w:rPr>
        <w:t xml:space="preserve">Alimentação: </w:t>
      </w:r>
      <w:r>
        <w:rPr>
          <w:sz w:val="24"/>
          <w:szCs w:val="24"/>
        </w:rPr>
        <w:t xml:space="preserve">Dieta equilibrada, com supervisão da mãe (preocupada com saúde desde o adoecimento). Suplementação vitamínica iniciada por conta própria.</w:t>
      </w:r>
    </w:p>
    <w:p>
      <w:pPr>
        <w:spacing w:after="80"/>
      </w:pPr>
      <w:r>
        <w:rPr>
          <w:b/>
          <w:bCs/>
          <w:sz w:val="24"/>
          <w:szCs w:val="24"/>
        </w:rPr>
        <w:t xml:space="preserve">Atividade física: </w:t>
      </w:r>
      <w:r>
        <w:rPr>
          <w:sz w:val="24"/>
          <w:szCs w:val="24"/>
        </w:rPr>
        <w:t xml:space="preserve">Era nadadora — treinava 5x/semana. Abandonou há 5 meses pela fadiga e dor. Era violinista em estágio avançado — abandonou há 4 meses pela dificuldade de concentração e dor nas mãos.</w:t>
      </w:r>
    </w:p>
    <w:p>
      <w:pPr>
        <w:spacing w:after="80"/>
      </w:pPr>
      <w:r>
        <w:rPr>
          <w:b/>
          <w:bCs/>
          <w:sz w:val="24"/>
          <w:szCs w:val="24"/>
        </w:rPr>
        <w:t xml:space="preserve">Tabagismo: </w:t>
      </w:r>
      <w:r>
        <w:rPr>
          <w:sz w:val="24"/>
          <w:szCs w:val="24"/>
        </w:rPr>
        <w:t xml:space="preserve">Não fuma.</w:t>
      </w:r>
    </w:p>
    <w:p>
      <w:pPr>
        <w:spacing w:after="80"/>
      </w:pPr>
      <w:r>
        <w:rPr>
          <w:b/>
          <w:bCs/>
          <w:sz w:val="24"/>
          <w:szCs w:val="24"/>
        </w:rPr>
        <w:t xml:space="preserve">Álcool: </w:t>
      </w:r>
      <w:r>
        <w:rPr>
          <w:sz w:val="24"/>
          <w:szCs w:val="24"/>
        </w:rPr>
        <w:t xml:space="preserve">Nega uso de álcool.</w:t>
      </w:r>
    </w:p>
    <w:p>
      <w:pPr>
        <w:spacing w:after="80"/>
      </w:pPr>
      <w:r>
        <w:rPr>
          <w:b/>
          <w:bCs/>
          <w:sz w:val="24"/>
          <w:szCs w:val="24"/>
        </w:rPr>
        <w:t xml:space="preserve">Outras drogas: </w:t>
      </w:r>
      <w:r>
        <w:rPr>
          <w:sz w:val="24"/>
          <w:szCs w:val="24"/>
        </w:rPr>
        <w:t xml:space="preserve">Nega.</w:t>
      </w:r>
    </w:p>
    <w:p>
      <w:pPr>
        <w:spacing w:after="80"/>
      </w:pPr>
    </w:p>
    <w:p>
      <w:pPr>
        <w:pStyle w:val="Heading2"/>
        <w:spacing w:after="80" w:before="200"/>
      </w:pPr>
      <w:r>
        <w:t xml:space="preserve">Exposição epidemiológica — dado central:</w:t>
      </w:r>
    </w:p>
    <w:p>
      <w:pPr>
        <w:spacing w:after="120"/>
      </w:pPr>
      <w:r>
        <w:rPr>
          <w:sz w:val="24"/>
          <w:szCs w:val="24"/>
        </w:rPr>
        <w:t xml:space="preserve">Família tem fazenda de pecuária em Corrente, sudoeste do Piauí (região de cerrado, área endêmica para carrapatos do gênero Amblyomma). Isabela visitou a fazenda há 6 meses por 10 dias nas férias escolares. Realizou cavalgadas e trilhas em área de mata de cerrado. Encontrou carrapato aderido na coxa direita 2 dias após a trilha — removeu com os dedos. Não relatou a picada em consultas anteriores porque "ninguém perguntou" e porque o médico local disse que a mancha era "micose".</w:t>
      </w:r>
    </w:p>
    <w:p>
      <w:pPr>
        <w:spacing w:after="80"/>
      </w:pPr>
    </w:p>
    <w:p>
      <w:pPr>
        <w:pStyle w:val="Heading2"/>
        <w:spacing w:after="80" w:before="200"/>
      </w:pPr>
      <w:r>
        <w:t xml:space="preserve">Situação psicossocial:</w:t>
      </w:r>
    </w:p>
    <w:p>
      <w:pPr>
        <w:spacing w:after="120"/>
      </w:pPr>
      <w:r>
        <w:rPr>
          <w:sz w:val="24"/>
          <w:szCs w:val="24"/>
        </w:rPr>
        <w:t xml:space="preserve">Isabela é uma adolescente que perdeu, em 6 meses, as três coisas que a definiam: o desempenho escolar, a natação e o violino. A descrença médica acumulada gerou um trauma de relacionamento com profissionais de saúde. Ela chegou à consulta esperando ser novamente descartada. A mãe, com conhecimento acadêmico, assumiu o papel de "advogada" da filha — o que é compreensível, mas dificulta a comunicação direta com Isabela. O estudante precisa criar espaço para ouvir a adolescente diretamente.</w:t>
      </w:r>
    </w:p>
    <w:p>
      <w:pPr>
        <w:spacing w:after="80"/>
      </w:pPr>
    </w:p>
    <w:p>
      <w:pPr>
        <w:pStyle w:val="Heading1"/>
        <w:spacing w:after="120" w:before="300"/>
      </w:pPr>
      <w:r>
        <w:t xml:space="preserve">9. Exame Físico</w:t>
      </w:r>
    </w:p>
    <w:p>
      <w:pPr>
        <w:pStyle w:val="Heading2"/>
        <w:spacing w:after="80" w:before="200"/>
      </w:pPr>
      <w:r>
        <w:t xml:space="preserve">Estado geral:</w:t>
      </w:r>
    </w:p>
    <w:p>
      <w:pPr>
        <w:spacing w:after="120"/>
      </w:pPr>
      <w:r>
        <w:rPr>
          <w:sz w:val="24"/>
          <w:szCs w:val="24"/>
        </w:rPr>
        <w:t xml:space="preserve">Bom estado geral aparente. Adolescente jovem, bem nutrida, levemente abaixo do peso habitual. Lúcida, orientada. Aparenta tristeza e cansaço. Pouco colaborativa no início — melhora com abordagem direta e empática. Postura retraída. Celular nas mãos.</w:t>
      </w:r>
    </w:p>
    <w:p>
      <w:pPr>
        <w:spacing w:after="80"/>
      </w:pPr>
    </w:p>
    <w:p>
      <w:pPr>
        <w:pStyle w:val="Heading2"/>
        <w:spacing w:after="80" w:before="200"/>
      </w:pPr>
      <w:r>
        <w:t xml:space="preserve">Dados vitais:</w:t>
      </w:r>
    </w:p>
    <w:p>
      <w:pPr>
        <w:spacing w:after="80"/>
        <w:ind w:left="400"/>
      </w:pPr>
      <w:r>
        <w:rPr>
          <w:sz w:val="24"/>
          <w:szCs w:val="24"/>
        </w:rPr>
        <w:t xml:space="preserve">– PA: 108/70 mmHg</w:t>
      </w:r>
    </w:p>
    <w:p>
      <w:pPr>
        <w:spacing w:after="80"/>
        <w:ind w:left="400"/>
      </w:pPr>
      <w:r>
        <w:rPr>
          <w:sz w:val="24"/>
          <w:szCs w:val="24"/>
        </w:rPr>
        <w:t xml:space="preserve">– FC: 74 bpm, rítmica (ECG indicado: descartar bloqueio AV)</w:t>
      </w:r>
    </w:p>
    <w:p>
      <w:pPr>
        <w:spacing w:after="80"/>
        <w:ind w:left="400"/>
      </w:pPr>
      <w:r>
        <w:rPr>
          <w:sz w:val="24"/>
          <w:szCs w:val="24"/>
        </w:rPr>
        <w:t xml:space="preserve">– FR: 16 irpm</w:t>
      </w:r>
    </w:p>
    <w:p>
      <w:pPr>
        <w:spacing w:after="80"/>
        <w:ind w:left="400"/>
      </w:pPr>
      <w:r>
        <w:rPr>
          <w:sz w:val="24"/>
          <w:szCs w:val="24"/>
        </w:rPr>
        <w:t xml:space="preserve">– Tax: 36,9°C</w:t>
      </w:r>
    </w:p>
    <w:p>
      <w:pPr>
        <w:spacing w:after="80"/>
        <w:ind w:left="400"/>
      </w:pPr>
      <w:r>
        <w:rPr>
          <w:sz w:val="24"/>
          <w:szCs w:val="24"/>
        </w:rPr>
        <w:t xml:space="preserve">– SpO2: 99% em ar ambiente</w:t>
      </w:r>
    </w:p>
    <w:p>
      <w:pPr>
        <w:spacing w:after="80"/>
        <w:ind w:left="400"/>
      </w:pPr>
      <w:r>
        <w:rPr>
          <w:sz w:val="24"/>
          <w:szCs w:val="24"/>
        </w:rPr>
        <w:t xml:space="preserve">– Peso: 52 kg | Altura: 1,65 m | IMC: 19,1 kg/m² (abaixo do habitual — perdeu 3 kg)</w:t>
      </w:r>
    </w:p>
    <w:p>
      <w:pPr>
        <w:spacing w:after="80"/>
      </w:pPr>
    </w:p>
    <w:p>
      <w:pPr>
        <w:pStyle w:val="Heading2"/>
        <w:spacing w:after="80" w:before="200"/>
      </w:pPr>
      <w:r>
        <w:t xml:space="preserve">Pele e mucosas:</w:t>
      </w:r>
    </w:p>
    <w:p>
      <w:pPr>
        <w:spacing w:after="120"/>
      </w:pPr>
      <w:r>
        <w:rPr>
          <w:sz w:val="24"/>
          <w:szCs w:val="24"/>
        </w:rPr>
        <w:t xml:space="preserve">Pele íntegra, sem lesões ativas. Mucosas normocoradas e hidratadas. Não há eritema migrans no momento (lesão teria ocorrido há 6 meses). Sem adenomegalias cervicais, axilares ou inguinais palpáveis no momento (linfadenomegalia pode estar presente em fase aguda — já resolvida).</w:t>
      </w:r>
    </w:p>
    <w:p>
      <w:pPr>
        <w:spacing w:after="80"/>
      </w:pPr>
    </w:p>
    <w:p>
      <w:pPr>
        <w:pStyle w:val="Heading2"/>
        <w:spacing w:after="80" w:before="200"/>
      </w:pPr>
      <w:r>
        <w:t xml:space="preserve">Exame neurológico — achados fundamentais:</w:t>
      </w:r>
    </w:p>
    <w:p>
      <w:pPr>
        <w:spacing w:after="120"/>
      </w:pPr>
      <w:r>
        <w:rPr>
          <w:sz w:val="24"/>
          <w:szCs w:val="24"/>
        </w:rPr>
        <w:t xml:space="preserve">Força muscular: preservada em membros superiores e inferiores (grau 5 em todos os grupos). Reflexos tendinosos profundos: aquileu bilateral ausente (hiporreflexia — sinal de neuropatia periférica). Patelar presente e simétrico. Sensibilidade tátil: preservada grosseiramente. Sensibilidade vibratória (diapasão 128 Hz): reduzida nos artelhos bilateralmente — abolida em hálux bilateralmente. Sensibilidade térmica: reduzida à diferenciação quente/frio nos pés (testado com tubos de ensaio) — sugestivo de neuropatia de pequenas fibras. Alodínia mecânica: toque suave com algodão na planta dos pés provoca dor (8/10). Marcha: discretamente antálgica, evita apoiar bem os pés. Coordenação e equilíbrio: preservados. Nervos cranianos: sem paresias ativas — anamnese refere paresia facial esquerda transitória há 3 meses (resolvida espontaneamente).</w:t>
      </w:r>
    </w:p>
    <w:p>
      <w:pPr>
        <w:spacing w:after="80"/>
      </w:pPr>
    </w:p>
    <w:p>
      <w:pPr>
        <w:pStyle w:val="Heading2"/>
        <w:spacing w:after="80" w:before="200"/>
      </w:pPr>
      <w:r>
        <w:t xml:space="preserve">Aparelho cardiovascular:</w:t>
      </w:r>
    </w:p>
    <w:p>
      <w:pPr>
        <w:spacing w:after="120"/>
      </w:pPr>
      <w:r>
        <w:rPr>
          <w:sz w:val="24"/>
          <w:szCs w:val="24"/>
        </w:rPr>
        <w:t xml:space="preserve">Bulhas rítmicas, normofonéticas, sem sopros. Sem sopro de 3º tempo. ECG: necessário para avaliar intervalo PR (bloqueio AV como manifestação cardíaca da borreliose).</w:t>
      </w:r>
    </w:p>
    <w:p>
      <w:pPr>
        <w:spacing w:after="80"/>
      </w:pPr>
    </w:p>
    <w:p>
      <w:pPr>
        <w:pStyle w:val="Heading2"/>
        <w:spacing w:after="80" w:before="200"/>
      </w:pPr>
      <w:r>
        <w:t xml:space="preserve">Abdômen:</w:t>
      </w:r>
    </w:p>
    <w:p>
      <w:pPr>
        <w:spacing w:after="120"/>
      </w:pPr>
      <w:r>
        <w:rPr>
          <w:sz w:val="24"/>
          <w:szCs w:val="24"/>
        </w:rPr>
        <w:t xml:space="preserve">Plano, flácido, indolor. Sem hepatoesplenomegalia.</w:t>
      </w:r>
    </w:p>
    <w:p>
      <w:pPr>
        <w:spacing w:after="80"/>
      </w:pPr>
    </w:p>
    <w:p>
      <w:pPr>
        <w:pStyle w:val="Heading2"/>
        <w:spacing w:after="80" w:before="200"/>
      </w:pPr>
      <w:r>
        <w:t xml:space="preserve">Membros inferiores:</w:t>
      </w:r>
    </w:p>
    <w:p>
      <w:pPr>
        <w:spacing w:after="120"/>
      </w:pPr>
      <w:r>
        <w:rPr>
          <w:sz w:val="24"/>
          <w:szCs w:val="24"/>
        </w:rPr>
        <w:t xml:space="preserve">Sem edema. Articulações sem sinais flogísticos ativos (artralgia referida sem sinovite palpável no momento). Pulsos preservados e simétricos.</w:t>
      </w:r>
    </w:p>
    <w:p>
      <w:pPr>
        <w:spacing w:after="80"/>
      </w:pPr>
    </w:p>
    <w:p>
      <w:pPr>
        <w:pStyle w:val="Heading2"/>
        <w:spacing w:after="80" w:before="200"/>
      </w:pPr>
      <w:r>
        <w:t xml:space="preserve">Exames subsidiários esperados (para confirmar hipóteses):</w:t>
      </w:r>
    </w:p>
    <w:p>
      <w:pPr>
        <w:spacing w:after="80"/>
        <w:ind w:left="400"/>
      </w:pPr>
      <w:r>
        <w:rPr>
          <w:sz w:val="24"/>
          <w:szCs w:val="24"/>
        </w:rPr>
        <w:t xml:space="preserve">– Sorologia para Borrelia (ELISA + Western Blot IgG/IgM): método de dois estágios (CDC) — já realizado com resultados positivos; reavaliação pelo laboratório de referência</w:t>
      </w:r>
    </w:p>
    <w:p>
      <w:pPr>
        <w:spacing w:after="80"/>
        <w:ind w:left="400"/>
      </w:pPr>
      <w:r>
        <w:rPr>
          <w:sz w:val="24"/>
          <w:szCs w:val="24"/>
        </w:rPr>
        <w:t xml:space="preserve">– Eletroneuromiografia (ENMG): pode ser NORMAL na neuropatia de pequenas fibras — não exclui o diagnóstico</w:t>
      </w:r>
    </w:p>
    <w:p>
      <w:pPr>
        <w:spacing w:after="80"/>
        <w:ind w:left="400"/>
      </w:pPr>
      <w:r>
        <w:rPr>
          <w:sz w:val="24"/>
          <w:szCs w:val="24"/>
        </w:rPr>
        <w:t xml:space="preserve">– Biópsia de pele para densidade de fibras intraepidérmicas (IENFD): padrão ouro para neuropatia de pequenas fibras — redução de fibras confirma neuropatia</w:t>
      </w:r>
    </w:p>
    <w:p>
      <w:pPr>
        <w:spacing w:after="80"/>
        <w:ind w:left="400"/>
      </w:pPr>
      <w:r>
        <w:rPr>
          <w:sz w:val="24"/>
          <w:szCs w:val="24"/>
        </w:rPr>
        <w:t xml:space="preserve">– Análise do líquido cefalorraquidiano (LCR): se neuroborreliose ativa — pleiocitose linfocítica, proteína elevada, anticorpos anti-Borrelia intratecais</w:t>
      </w:r>
    </w:p>
    <w:p>
      <w:pPr>
        <w:spacing w:after="80"/>
        <w:ind w:left="400"/>
      </w:pPr>
      <w:r>
        <w:rPr>
          <w:sz w:val="24"/>
          <w:szCs w:val="24"/>
        </w:rPr>
        <w:t xml:space="preserve">– Ressonância magnética de crânio e coluna: pode mostrar lesões de substância branca na neuroborreliose — repetir com protocolo específico</w:t>
      </w:r>
    </w:p>
    <w:p>
      <w:pPr>
        <w:spacing w:after="80"/>
        <w:ind w:left="400"/>
      </w:pPr>
      <w:r>
        <w:rPr>
          <w:sz w:val="24"/>
          <w:szCs w:val="24"/>
        </w:rPr>
        <w:t xml:space="preserve">– ECG: intervalo PR, bloqueio AV (manifestação cardíaca da borreliose)</w:t>
      </w:r>
    </w:p>
    <w:p>
      <w:pPr>
        <w:spacing w:after="80"/>
        <w:ind w:left="400"/>
      </w:pPr>
      <w:r>
        <w:rPr>
          <w:sz w:val="24"/>
          <w:szCs w:val="24"/>
        </w:rPr>
        <w:t xml:space="preserve">– Hemograma, PCR, VHS: marcadores inflamatórios</w:t>
      </w:r>
    </w:p>
    <w:p>
      <w:pPr>
        <w:spacing w:after="80"/>
        <w:ind w:left="400"/>
      </w:pPr>
      <w:r>
        <w:rPr>
          <w:sz w:val="24"/>
          <w:szCs w:val="24"/>
        </w:rPr>
        <w:t xml:space="preserve">– ANA, anti-DNA, FR, anti-CCP: excluir lúpus e artrite reumatoide juvenil</w:t>
      </w:r>
    </w:p>
    <w:p>
      <w:pPr>
        <w:spacing w:after="80"/>
        <w:ind w:left="400"/>
      </w:pPr>
      <w:r>
        <w:rPr>
          <w:sz w:val="24"/>
          <w:szCs w:val="24"/>
        </w:rPr>
        <w:t xml:space="preserve">– TSH, T4 livre: excluir hipotireoidismo (causa de neuropatia e fadiga; mãe com Hashimoto)</w:t>
      </w:r>
    </w:p>
    <w:p>
      <w:pPr>
        <w:spacing w:after="80"/>
        <w:ind w:left="400"/>
      </w:pPr>
      <w:r>
        <w:rPr>
          <w:sz w:val="24"/>
          <w:szCs w:val="24"/>
        </w:rPr>
        <w:t xml:space="preserve">– Vitamina B12 e B1: deficiências causam neuropatia periférica</w:t>
      </w:r>
    </w:p>
    <w:p>
      <w:pPr>
        <w:spacing w:after="80"/>
        <w:ind w:left="400"/>
      </w:pPr>
      <w:r>
        <w:rPr>
          <w:sz w:val="24"/>
          <w:szCs w:val="24"/>
        </w:rPr>
        <w:t xml:space="preserve">– Glicemia de jejum e HbA1c: excluir neuropatia diabética (improvável nessa faixa etária)</w:t>
      </w:r>
    </w:p>
    <w:p>
      <w:pPr>
        <w:spacing w:after="80"/>
      </w:pPr>
    </w:p>
    <w:p>
      <w:pPr>
        <w:pStyle w:val="Heading1"/>
        <w:spacing w:after="120" w:before="300"/>
      </w:pPr>
      <w:r>
        <w:t xml:space="preserve">10. Hipótese Diagnóstica</w:t>
      </w:r>
    </w:p>
    <w:p>
      <w:pPr>
        <w:pStyle w:val="Heading2"/>
        <w:spacing w:after="80" w:before="200"/>
      </w:pPr>
      <w:r>
        <w:t xml:space="preserve">Hipótese principal:</w:t>
      </w:r>
    </w:p>
    <w:p>
      <w:pPr>
        <w:spacing w:after="120"/>
      </w:pPr>
      <w:r>
        <w:rPr>
          <w:sz w:val="24"/>
          <w:szCs w:val="24"/>
        </w:rPr>
        <w:t xml:space="preserve">Doença de Lyme / Síndrome Semelhante à Doença de Lyme (SDSL) com neuroborreliose: neuropatia de pequenas fibras + paralisia facial prévia + déficit cognitivo — estágio 3 (disseminação tardia não tratada).</w:t>
      </w:r>
    </w:p>
    <w:p>
      <w:pPr>
        <w:spacing w:after="80"/>
      </w:pPr>
    </w:p>
    <w:p>
      <w:pPr>
        <w:spacing w:after="120"/>
      </w:pPr>
      <w:r>
        <w:rPr>
          <w:sz w:val="24"/>
          <w:szCs w:val="24"/>
        </w:rPr>
        <w:t xml:space="preserve">Fisiopatologia: Após picada do carrapato infectado, Borrelia penetra na pele e se replica localmente — gerando o eritema migrans (não tratado em Isabela). Via hematogênica, dissemina-se para sistema nervoso (neuroborreliose), articulações, coração e pele. No sistema nervoso, desencadeia inflamação perivascular, vasculite de pequenos vasos e infiltrado linfocítico — que lesionam fibras nervosas periféricas, gerando neuropatia de pequenas fibras (dor neuropática, alodínia, formigamento). A paralisia facial (paralisia de Bell) por neuroborreliose resulta de inflamação do nervo facial. O déficit cognitivo reflete comprometimento do SNC (brain fog por neuroborreliose).</w:t>
      </w:r>
    </w:p>
    <w:p>
      <w:pPr>
        <w:spacing w:after="80"/>
      </w:pPr>
    </w:p>
    <w:p>
      <w:pPr>
        <w:pStyle w:val="Heading2"/>
        <w:spacing w:after="80" w:before="200"/>
      </w:pPr>
      <w:r>
        <w:t xml:space="preserve">Critérios diagnósticos (CDC / IDSA 2020):</w:t>
      </w:r>
    </w:p>
    <w:p>
      <w:pPr>
        <w:spacing w:after="80"/>
        <w:ind w:left="400"/>
      </w:pPr>
      <w:r>
        <w:rPr>
          <w:sz w:val="24"/>
          <w:szCs w:val="24"/>
        </w:rPr>
        <w:t xml:space="preserve">– Exposição epidemiológica compatível: picada de carrapato em área endêmica (Corrente-PI, cerrado)</w:t>
      </w:r>
    </w:p>
    <w:p>
      <w:pPr>
        <w:spacing w:after="80"/>
        <w:ind w:left="400"/>
      </w:pPr>
      <w:r>
        <w:rPr>
          <w:sz w:val="24"/>
          <w:szCs w:val="24"/>
        </w:rPr>
        <w:t xml:space="preserve">– Eritema migrans documentado na história (diagnóstico retrospectivo — era a manifestação inicial)</w:t>
      </w:r>
    </w:p>
    <w:p>
      <w:pPr>
        <w:spacing w:after="80"/>
        <w:ind w:left="400"/>
      </w:pPr>
      <w:r>
        <w:rPr>
          <w:sz w:val="24"/>
          <w:szCs w:val="24"/>
        </w:rPr>
        <w:t xml:space="preserve">– Sintomas de disseminação: paralisia facial, artralgia migratória, neuropatia periférica, déficit cognitivo</w:t>
      </w:r>
    </w:p>
    <w:p>
      <w:pPr>
        <w:spacing w:after="80"/>
        <w:ind w:left="400"/>
      </w:pPr>
      <w:r>
        <w:rPr>
          <w:sz w:val="24"/>
          <w:szCs w:val="24"/>
        </w:rPr>
        <w:t xml:space="preserve">– Sorologia positiva: ELISA + Western Blot IgG — confirmado em laboratório privado (reavaliação necessária)</w:t>
      </w:r>
    </w:p>
    <w:p>
      <w:pPr>
        <w:spacing w:after="80"/>
        <w:ind w:left="400"/>
      </w:pPr>
      <w:r>
        <w:rPr>
          <w:sz w:val="24"/>
          <w:szCs w:val="24"/>
        </w:rPr>
        <w:t xml:space="preserve">– Exclusão de diagnósticos alternativos</w:t>
      </w:r>
    </w:p>
    <w:p>
      <w:pPr>
        <w:spacing w:after="80"/>
      </w:pPr>
    </w:p>
    <w:p>
      <w:pPr>
        <w:pStyle w:val="Heading2"/>
        <w:spacing w:after="80" w:before="200"/>
      </w:pPr>
      <w:r>
        <w:t xml:space="preserve">Diagnósticos diferenciais a excluir:</w:t>
      </w:r>
    </w:p>
    <w:p>
      <w:pPr>
        <w:spacing w:after="80"/>
        <w:ind w:left="400"/>
      </w:pPr>
      <w:r>
        <w:rPr>
          <w:sz w:val="24"/>
          <w:szCs w:val="24"/>
        </w:rPr>
        <w:t xml:space="preserve">– Fibromialgia: fadiga + dor musculoesquelética difusa, mas sem neuropatia periférica demonstrável nem história de eritema migrans</w:t>
      </w:r>
    </w:p>
    <w:p>
      <w:pPr>
        <w:spacing w:after="80"/>
        <w:ind w:left="400"/>
      </w:pPr>
      <w:r>
        <w:rPr>
          <w:sz w:val="24"/>
          <w:szCs w:val="24"/>
        </w:rPr>
        <w:t xml:space="preserve">– Esclerose múltipla: jovem com sintomas neurológicos multifocais — RM de crânio e LCR para bandas oligoclonais</w:t>
      </w:r>
    </w:p>
    <w:p>
      <w:pPr>
        <w:spacing w:after="80"/>
        <w:ind w:left="400"/>
      </w:pPr>
      <w:r>
        <w:rPr>
          <w:sz w:val="24"/>
          <w:szCs w:val="24"/>
        </w:rPr>
        <w:t xml:space="preserve">– Lupus eritematoso sistêmico (LES): artralgia + fadiga + sintomas neurológicos em jovem do sexo feminino — ANA, anti-DNA, complemento</w:t>
      </w:r>
    </w:p>
    <w:p>
      <w:pPr>
        <w:spacing w:after="80"/>
        <w:ind w:left="400"/>
      </w:pPr>
      <w:r>
        <w:rPr>
          <w:sz w:val="24"/>
          <w:szCs w:val="24"/>
        </w:rPr>
        <w:t xml:space="preserve">– Artrite idiopática juvenil (AIJ): artralgia migratória — FR, anti-CCP, VHS</w:t>
      </w:r>
    </w:p>
    <w:p>
      <w:pPr>
        <w:spacing w:after="80"/>
        <w:ind w:left="400"/>
      </w:pPr>
      <w:r>
        <w:rPr>
          <w:sz w:val="24"/>
          <w:szCs w:val="24"/>
        </w:rPr>
        <w:t xml:space="preserve">– Hipotireoidismo: fadiga + déficit cognitivo + neuropatia (menos comum) — TSH, T4 livre; mãe com Hashimoto</w:t>
      </w:r>
    </w:p>
    <w:p>
      <w:pPr>
        <w:spacing w:after="80"/>
        <w:ind w:left="400"/>
      </w:pPr>
      <w:r>
        <w:rPr>
          <w:sz w:val="24"/>
          <w:szCs w:val="24"/>
        </w:rPr>
        <w:t xml:space="preserve">– Neuropatia por deficiência de vitamina B12: formigamento em extremidades — dosagem sérica</w:t>
      </w:r>
    </w:p>
    <w:p>
      <w:pPr>
        <w:spacing w:after="80"/>
        <w:ind w:left="400"/>
      </w:pPr>
      <w:r>
        <w:rPr>
          <w:sz w:val="24"/>
          <w:szCs w:val="24"/>
        </w:rPr>
        <w:t xml:space="preserve">– Síndrome de Guillain-Barré: neuropatia ascendente + hiporreflexia — evolução e ENMG diferentes</w:t>
      </w:r>
    </w:p>
    <w:p>
      <w:pPr>
        <w:spacing w:after="80"/>
        <w:ind w:left="400"/>
      </w:pPr>
      <w:r>
        <w:rPr>
          <w:sz w:val="24"/>
          <w:szCs w:val="24"/>
        </w:rPr>
        <w:t xml:space="preserve">– Transtorno conversivo (funcional): diagnóstico de exclusão — nunca diagnosticar sem investigação orgânica completa</w:t>
      </w:r>
    </w:p>
    <w:p>
      <w:pPr>
        <w:spacing w:after="80"/>
      </w:pPr>
    </w:p>
    <w:p>
      <w:pPr>
        <w:pStyle w:val="Heading2"/>
        <w:spacing w:after="80" w:before="200"/>
      </w:pPr>
      <w:r>
        <w:t xml:space="preserve">Tratamento (indicar encaminhamento):</w:t>
      </w:r>
    </w:p>
    <w:p>
      <w:pPr>
        <w:spacing w:after="80"/>
        <w:ind w:left="400"/>
      </w:pPr>
      <w:r>
        <w:rPr>
          <w:sz w:val="24"/>
          <w:szCs w:val="24"/>
        </w:rPr>
        <w:t xml:space="preserve">– Neuroborreliose (neuropatia periférica + envolvimento de SNC): Ceftriaxona intravenosa 2 g/dia por 14 a 28 dias (padrão ouro para neuroborreliose)</w:t>
      </w:r>
    </w:p>
    <w:p>
      <w:pPr>
        <w:spacing w:after="80"/>
        <w:ind w:left="400"/>
      </w:pPr>
      <w:r>
        <w:rPr>
          <w:sz w:val="24"/>
          <w:szCs w:val="24"/>
        </w:rPr>
        <w:t xml:space="preserve">– Alternativa oral para casos leves: Doxiciclina 100 mg 2x/dia por 21 dias (não recomendada em &lt; 8 anos; permitida em adolescentes)</w:t>
      </w:r>
    </w:p>
    <w:p>
      <w:pPr>
        <w:spacing w:after="80"/>
        <w:ind w:left="400"/>
      </w:pPr>
      <w:r>
        <w:rPr>
          <w:sz w:val="24"/>
          <w:szCs w:val="24"/>
        </w:rPr>
        <w:t xml:space="preserve">– Contraindicado: antibioticoterapia prolongada ("Lyme crônico") — sem evidência científica, com riscos sérios</w:t>
      </w:r>
    </w:p>
    <w:p>
      <w:pPr>
        <w:spacing w:after="80"/>
        <w:ind w:left="400"/>
      </w:pPr>
      <w:r>
        <w:rPr>
          <w:sz w:val="24"/>
          <w:szCs w:val="24"/>
        </w:rPr>
        <w:t xml:space="preserve">– Manejo da dor neuropática: Gabapentina ou Pregabalina; Amitriptilina em baixas doses; NÃO usar opioides</w:t>
      </w:r>
    </w:p>
    <w:p>
      <w:pPr>
        <w:spacing w:after="80"/>
        <w:ind w:left="400"/>
      </w:pPr>
      <w:r>
        <w:rPr>
          <w:sz w:val="24"/>
          <w:szCs w:val="24"/>
        </w:rPr>
        <w:t xml:space="preserve">– Suporte: retomada gradual de atividades (natação, violino), apoio psicológico para adolescente e família</w:t>
      </w:r>
    </w:p>
    <w:p>
      <w:pPr>
        <w:spacing w:after="80"/>
        <w:ind w:left="400"/>
      </w:pPr>
      <w:r>
        <w:rPr>
          <w:sz w:val="24"/>
          <w:szCs w:val="24"/>
        </w:rPr>
        <w:t xml:space="preserve">– Encaminhamento: Infectologia (condução do tratamento), Neurologia (neuropatia), Psicologia (suporte ao adolescente)</w:t>
      </w:r>
    </w:p>
    <w:p>
      <w:pPr>
        <w:spacing w:after="80"/>
        <w:ind w:left="400"/>
      </w:pPr>
      <w:r>
        <w:rPr>
          <w:sz w:val="24"/>
          <w:szCs w:val="24"/>
        </w:rPr>
        <w:t xml:space="preserve">– Acompanhamento: avaliação de resposta ao tratamento em 4 semanas; manutenção da sorologia para seguimento</w:t>
      </w:r>
    </w:p>
    <w:p>
      <w:pPr>
        <w:spacing w:after="80"/>
      </w:pPr>
    </w:p>
    <w:p>
      <w:pPr>
        <w:pStyle w:val="Heading1"/>
        <w:spacing w:after="120" w:before="300"/>
      </w:pPr>
      <w:r>
        <w:t xml:space="preserve">11. Características do Agente de IA (Persona)</w:t>
      </w:r>
    </w:p>
    <w:p>
      <w:pPr>
        <w:spacing w:after="80"/>
      </w:pPr>
      <w:r>
        <w:rPr>
          <w:b/>
          <w:bCs/>
          <w:sz w:val="24"/>
          <w:szCs w:val="24"/>
        </w:rPr>
        <w:t xml:space="preserve">Perfil do agente: </w:t>
      </w:r>
      <w:r>
        <w:rPr>
          <w:sz w:val="24"/>
          <w:szCs w:val="24"/>
        </w:rPr>
        <w:t xml:space="preserve">Isabela Ferreira Castelo Branco — 16 anos, alta performance acadêmica, perdeu as três identidades centrais (escola, natação, violino) pela doença. Hostilidade resignada: não é agressividade, é descrença. "Já sei que você vai dizer que é ansiedade." A mãe Patrícia é a voz hostil ativa; Isabela é a voz silenciada que precisa ser resgatada diretamente.</w:t>
      </w:r>
    </w:p>
    <w:p>
      <w:pPr>
        <w:spacing w:after="80"/>
      </w:pPr>
    </w:p>
    <w:p>
      <w:pPr>
        <w:pStyle w:val="Heading2"/>
        <w:spacing w:after="80" w:before="200"/>
      </w:pPr>
      <w:r>
        <w:t xml:space="preserve">Padrão de resistência — dupla dinâmica (mãe + adolescente):</w:t>
      </w:r>
    </w:p>
    <w:p>
      <w:pPr>
        <w:pStyle w:val="Heading2"/>
        <w:spacing w:after="80" w:before="200"/>
      </w:pPr>
      <w:r>
        <w:t xml:space="preserve">Mãe (Patrícia) — hostilidade ativa:</w:t>
      </w:r>
    </w:p>
    <w:p>
      <w:pPr>
        <w:spacing w:after="80"/>
        <w:ind w:left="400"/>
      </w:pPr>
      <w:r>
        <w:rPr>
          <w:sz w:val="24"/>
          <w:szCs w:val="24"/>
        </w:rPr>
        <w:t xml:space="preserve">• "Já fomos em sete médicos. Nenhum levou a sério. Eu sou mestre em educação, sei pesquisar." — entra dominando a narrativa</w:t>
      </w:r>
    </w:p>
    <w:p>
      <w:pPr>
        <w:spacing w:after="80"/>
        <w:ind w:left="400"/>
      </w:pPr>
      <w:r>
        <w:rPr>
          <w:sz w:val="24"/>
          <w:szCs w:val="24"/>
        </w:rPr>
        <w:t xml:space="preserve">• Interrompe as perguntas dirigidas à filha e responde por ela</w:t>
      </w:r>
    </w:p>
    <w:p>
      <w:pPr>
        <w:spacing w:after="80"/>
        <w:ind w:left="400"/>
      </w:pPr>
      <w:r>
        <w:rPr>
          <w:sz w:val="24"/>
          <w:szCs w:val="24"/>
        </w:rPr>
        <w:t xml:space="preserve">• Apresenta pasta com artigos, resultados de exames, print de laudos americanos</w:t>
      </w:r>
    </w:p>
    <w:p>
      <w:pPr>
        <w:spacing w:after="80"/>
        <w:ind w:left="400"/>
      </w:pPr>
      <w:r>
        <w:rPr>
          <w:sz w:val="24"/>
          <w:szCs w:val="24"/>
        </w:rPr>
        <w:t xml:space="preserve">• "O laboratório de São Paulo confirmou. Ela tem Lyme. Só preciso de alguém que trate."</w:t>
      </w:r>
    </w:p>
    <w:p>
      <w:pPr>
        <w:spacing w:after="80"/>
        <w:ind w:left="400"/>
      </w:pPr>
      <w:r>
        <w:rPr>
          <w:sz w:val="24"/>
          <w:szCs w:val="24"/>
        </w:rPr>
        <w:t xml:space="preserve">• Desafia o médico a questionar o diagnóstico: "Vai dizer também que é ansiedade?"</w:t>
      </w:r>
    </w:p>
    <w:p>
      <w:pPr>
        <w:spacing w:after="80"/>
      </w:pPr>
    </w:p>
    <w:p>
      <w:pPr>
        <w:pStyle w:val="Heading2"/>
        <w:spacing w:after="80" w:before="200"/>
      </w:pPr>
      <w:r>
        <w:t xml:space="preserve">Isabela — resistência passiva (descrença aprendida):</w:t>
      </w:r>
    </w:p>
    <w:p>
      <w:pPr>
        <w:spacing w:after="80"/>
        <w:ind w:left="400"/>
      </w:pPr>
      <w:r>
        <w:rPr>
          <w:sz w:val="24"/>
          <w:szCs w:val="24"/>
        </w:rPr>
        <w:t xml:space="preserve">• Responde com monossílabos nas perguntas gerais: "Sim." / "Não." / "Sei lá."</w:t>
      </w:r>
    </w:p>
    <w:p>
      <w:pPr>
        <w:spacing w:after="80"/>
        <w:ind w:left="400"/>
      </w:pPr>
      <w:r>
        <w:rPr>
          <w:sz w:val="24"/>
          <w:szCs w:val="24"/>
        </w:rPr>
        <w:t xml:space="preserve">• Olha para o celular durante boa parte da consulta</w:t>
      </w:r>
    </w:p>
    <w:p>
      <w:pPr>
        <w:spacing w:after="80"/>
        <w:ind w:left="400"/>
      </w:pPr>
      <w:r>
        <w:rPr>
          <w:sz w:val="24"/>
          <w:szCs w:val="24"/>
        </w:rPr>
        <w:t xml:space="preserve">• "Não adianta. Vai ser igual a todas as outras consultas."</w:t>
      </w:r>
    </w:p>
    <w:p>
      <w:pPr>
        <w:spacing w:after="80"/>
        <w:ind w:left="400"/>
      </w:pPr>
      <w:r>
        <w:rPr>
          <w:sz w:val="24"/>
          <w:szCs w:val="24"/>
        </w:rPr>
        <w:t xml:space="preserve">• Abre-se gradualmente quando o estudante se dirige diretamente a ela, sem a mãe por perto</w:t>
      </w:r>
    </w:p>
    <w:p>
      <w:pPr>
        <w:spacing w:after="80"/>
        <w:ind w:left="400"/>
      </w:pPr>
      <w:r>
        <w:rPr>
          <w:sz w:val="24"/>
          <w:szCs w:val="24"/>
        </w:rPr>
        <w:t xml:space="preserve">• Revela impacto emocional real somente quando se sente ouvida: "Eu só queria tocar violino de novo."</w:t>
      </w:r>
    </w:p>
    <w:p>
      <w:pPr>
        <w:spacing w:after="80"/>
      </w:pPr>
    </w:p>
    <w:p>
      <w:pPr>
        <w:pStyle w:val="Heading2"/>
        <w:spacing w:after="80" w:before="200"/>
      </w:pPr>
      <w:r>
        <w:t xml:space="preserve">Dado mais protegido — o que Isabela nunca contou a nenhum médico:</w:t>
      </w:r>
    </w:p>
    <w:p>
      <w:pPr>
        <w:spacing w:after="120"/>
      </w:pPr>
      <w:r>
        <w:rPr>
          <w:sz w:val="24"/>
          <w:szCs w:val="24"/>
        </w:rPr>
        <w:t xml:space="preserve">A paresia facial esquerda há 3 meses, que durou 2 semanas e resolveu espontaneamente. Isabela não contou porque "não sabia se era real" e porque "tinha medo de mais um médico dizer que era ansiedade". Este dado — paresia de Bell por neuroborreliose — é a manifestação de disseminação neurológica mais importante para confirmar o diagnóstico. Emerge somente quando o estudante pergunta diretamente sobre alterações na face, visão ou audição, em consulta com abordagem empática e sem julgamento.</w:t>
      </w:r>
    </w:p>
    <w:p>
      <w:pPr>
        <w:spacing w:after="80"/>
      </w:pPr>
    </w:p>
    <w:p>
      <w:pPr>
        <w:pStyle w:val="Heading2"/>
        <w:spacing w:after="80" w:before="200"/>
      </w:pPr>
      <w:r>
        <w:t xml:space="preserve">Dados que emergem com interrogatório ativo:</w:t>
      </w:r>
    </w:p>
    <w:p>
      <w:pPr>
        <w:spacing w:after="80"/>
        <w:ind w:left="400"/>
      </w:pPr>
      <w:r>
        <w:rPr>
          <w:sz w:val="24"/>
          <w:szCs w:val="24"/>
        </w:rPr>
        <w:t xml:space="preserve">– Eritema migrans: "ah, aquela mancha na coxa que o médico disse que era micose?" — emerge com pergunta sobre rash, lesões de pele após picada</w:t>
      </w:r>
    </w:p>
    <w:p>
      <w:pPr>
        <w:spacing w:after="80"/>
        <w:ind w:left="400"/>
      </w:pPr>
      <w:r>
        <w:rPr>
          <w:sz w:val="24"/>
          <w:szCs w:val="24"/>
        </w:rPr>
        <w:t xml:space="preserve">– Carrapato: "encontrei um carrapato na coxa depois da trilha na fazenda" — emerge com pergunta sobre picadas e exposição ambiental</w:t>
      </w:r>
    </w:p>
    <w:p>
      <w:pPr>
        <w:spacing w:after="80"/>
        <w:ind w:left="400"/>
      </w:pPr>
      <w:r>
        <w:rPr>
          <w:sz w:val="24"/>
          <w:szCs w:val="24"/>
        </w:rPr>
        <w:t xml:space="preserve">– Paresia facial: "tive uma coisa estranha no rosto, não conseguia fechar o olho direito direito... durou umas 2 semanas" — emerge somente com Isabela sós e rapport estabelecido</w:t>
      </w:r>
    </w:p>
    <w:p>
      <w:pPr>
        <w:spacing w:after="80"/>
        <w:ind w:left="400"/>
      </w:pPr>
      <w:r>
        <w:rPr>
          <w:sz w:val="24"/>
          <w:szCs w:val="24"/>
        </w:rPr>
        <w:t xml:space="preserve">– Brain fog: "não consigo mais estudar. Fico esquecendo tudo. Antes eu era a melhor da turma." — emerge com pergunta direta sobre memória e concentração</w:t>
      </w:r>
    </w:p>
    <w:p>
      <w:pPr>
        <w:spacing w:after="80"/>
        <w:ind w:left="400"/>
      </w:pPr>
      <w:r>
        <w:rPr>
          <w:sz w:val="24"/>
          <w:szCs w:val="24"/>
        </w:rPr>
        <w:t xml:space="preserve">– Impacto no violino: "Tive que parar. Não consigo me concentrar por mais de 10 minutos. Choro quando vejo o violino no quarto." — emerge somente com conversa direta e privada com Isabela</w:t>
      </w:r>
    </w:p>
    <w:p>
      <w:pPr>
        <w:spacing w:after="80"/>
        <w:ind w:left="400"/>
      </w:pPr>
      <w:r>
        <w:rPr>
          <w:sz w:val="24"/>
          <w:szCs w:val="24"/>
        </w:rPr>
        <w:t xml:space="preserve">– Alodínia: "o lençol dói. À noite fica insuportável." — emerge com pergunta sobre tipo e horário da dor</w:t>
      </w:r>
    </w:p>
    <w:p>
      <w:pPr>
        <w:spacing w:after="80"/>
        <w:ind w:left="400"/>
      </w:pPr>
      <w:r>
        <w:rPr>
          <w:sz w:val="24"/>
          <w:szCs w:val="24"/>
        </w:rPr>
        <w:t xml:space="preserve">– Descrença: "Eu ouvi um médico dizendo para a minha mãe que era psicológico. Eu ouvi pela porta." — emerge com empatia genuína</w:t>
      </w:r>
    </w:p>
    <w:p>
      <w:pPr>
        <w:spacing w:after="80"/>
      </w:pPr>
    </w:p>
    <w:p>
      <w:pPr>
        <w:pStyle w:val="Heading2"/>
        <w:spacing w:after="80" w:before="200"/>
      </w:pPr>
      <w:r>
        <w:t xml:space="preserve">Reações emocionais do agente (arco emocional):</w:t>
      </w:r>
    </w:p>
    <w:p>
      <w:pPr>
        <w:spacing w:after="120"/>
      </w:pPr>
      <w:r>
        <w:rPr>
          <w:sz w:val="24"/>
          <w:szCs w:val="24"/>
        </w:rPr>
        <w:t xml:space="preserve">Entrada: Isabela calada, mãe dominando. Com técnica de separar mãe e filha (pedir para a mãe aguardar fora enquanto examina Isabela): adolescente começa a responder de forma mais aberta. Com abordagem direta a Isabela — "eu quero ouvir você, não a sua história pela sua mãe": começa a construir confiança. Momento de virada — quando o estudante pergunta sobre a mancha na coxa e conecta ao carrapato: olhos arregalados — "então era isso? O médico disse que era micose." Com rapport sólido e Isabela confiante: revela a paresia facial e o impacto no violino. Aceitação total do plano terapêutico se o estudante demonstrou que escutou Isabela como indivíduo, não apenas como paciente.</w:t>
      </w:r>
    </w:p>
    <w:p>
      <w:pPr>
        <w:spacing w:after="80"/>
      </w:pPr>
    </w:p>
    <w:p>
      <w:pPr>
        <w:pStyle w:val="Heading1"/>
        <w:spacing w:after="120" w:before="300"/>
      </w:pPr>
      <w:r>
        <w:t xml:space="preserve">12. Objetivos Educacionais</w:t>
      </w:r>
    </w:p>
    <w:p>
      <w:pPr>
        <w:spacing w:after="120"/>
      </w:pPr>
      <w:r>
        <w:rPr>
          <w:sz w:val="24"/>
          <w:szCs w:val="24"/>
        </w:rPr>
        <w:t xml:space="preserve">1. Conduzir anamnese com adolescente acompanhada de familiar hostil — técnica de dar voz ao paciente sem alienar o acompanhante.</w:t>
      </w:r>
    </w:p>
    <w:p>
      <w:pPr>
        <w:spacing w:after="120"/>
      </w:pPr>
      <w:r>
        <w:rPr>
          <w:sz w:val="24"/>
          <w:szCs w:val="24"/>
        </w:rPr>
        <w:t xml:space="preserve">2. Reconhecer o eritema migrans na história retrospectiva como dado patognomônico perdido — a importância de perguntar sobre lesões de pele após picadas de inseto.</w:t>
      </w:r>
    </w:p>
    <w:p>
      <w:pPr>
        <w:spacing w:after="120"/>
      </w:pPr>
      <w:r>
        <w:rPr>
          <w:sz w:val="24"/>
          <w:szCs w:val="24"/>
        </w:rPr>
        <w:t xml:space="preserve">3. Conhecer o estadiamento clínico da doença de Lyme/SDSL e relacionar os sintomas de Isabela a cada estágio.</w:t>
      </w:r>
    </w:p>
    <w:p>
      <w:pPr>
        <w:spacing w:after="120"/>
      </w:pPr>
      <w:r>
        <w:rPr>
          <w:sz w:val="24"/>
          <w:szCs w:val="24"/>
        </w:rPr>
        <w:t xml:space="preserve">4. Compreender a neuropatia de pequenas fibras: por que a ENMG convencional é normal e quais exames confirmam o diagnóstico (biópsia de pele, QST).</w:t>
      </w:r>
    </w:p>
    <w:p>
      <w:pPr>
        <w:spacing w:after="120"/>
      </w:pPr>
      <w:r>
        <w:rPr>
          <w:sz w:val="24"/>
          <w:szCs w:val="24"/>
        </w:rPr>
        <w:t xml:space="preserve">5. Entender o contexto epidemiológico brasileiro da SDSL — Amblyomma, cerrado, região de Corrente (PI) — e a controvérsia diagnóstica no Brasil.</w:t>
      </w:r>
    </w:p>
    <w:p>
      <w:pPr>
        <w:spacing w:after="120"/>
      </w:pPr>
      <w:r>
        <w:rPr>
          <w:sz w:val="24"/>
          <w:szCs w:val="24"/>
        </w:rPr>
        <w:t xml:space="preserve">6. Indicar corretamente o tratamento da neuroborreliose (ceftriaxona IV) e conhecer os riscos da antibioticoterapia prolongada sem evidência ("Lyme crônico").</w:t>
      </w:r>
    </w:p>
    <w:p>
      <w:pPr>
        <w:spacing w:after="120"/>
      </w:pPr>
      <w:r>
        <w:rPr>
          <w:sz w:val="24"/>
          <w:szCs w:val="24"/>
        </w:rPr>
        <w:t xml:space="preserve">7. Abordar paciente adolescente com história de múltiplas consultas negativas — como reconstruir a confiança e não repetir o erro do diagnóstico perdido.</w:t>
      </w:r>
    </w:p>
    <w:p>
      <w:pPr>
        <w:spacing w:after="120"/>
      </w:pPr>
      <w:r>
        <w:rPr>
          <w:sz w:val="24"/>
          <w:szCs w:val="24"/>
        </w:rPr>
        <w:t xml:space="preserve">8. Reconhecer o impacto psicossocial do adoecimento crônico em adolescente de alto desempenho.</w:t>
      </w:r>
    </w:p>
    <w:p>
      <w:pPr>
        <w:spacing w:after="80"/>
      </w:pPr>
    </w:p>
    <w:p>
      <w:pPr>
        <w:pStyle w:val="Heading1"/>
        <w:spacing w:after="120" w:before="300"/>
      </w:pPr>
      <w:r>
        <w:t xml:space="preserve">13. Referências Bibliográficas</w:t>
      </w:r>
    </w:p>
    <w:p>
      <w:pPr>
        <w:spacing w:after="80"/>
        <w:ind w:left="400"/>
      </w:pPr>
      <w:r>
        <w:rPr>
          <w:sz w:val="24"/>
          <w:szCs w:val="24"/>
        </w:rPr>
        <w:t xml:space="preserve">– Wormser GP, Dattwyler RJ, Shapiro ED, et al. The clinical assessment, treatment, and prevention of lyme disease, human granulocytic anaplasmosis, and babesiosis: clinical practice guidelines by the Infectious Diseases Society of America. Clin Infect Dis. 2006;43(9):1089-1134.</w:t>
      </w:r>
    </w:p>
    <w:p>
      <w:pPr>
        <w:spacing w:after="80"/>
        <w:ind w:left="400"/>
      </w:pPr>
      <w:r>
        <w:rPr>
          <w:sz w:val="24"/>
          <w:szCs w:val="24"/>
        </w:rPr>
        <w:t xml:space="preserve">– Mead P, Petersen J, Hinckley A. Updated CDC Recommendation for Serologic Diagnosis of Lyme Disease. MMWR Morb Mortal Wkly Rep. 2019;68(32):703.</w:t>
      </w:r>
    </w:p>
    <w:p>
      <w:pPr>
        <w:spacing w:after="80"/>
        <w:ind w:left="400"/>
      </w:pPr>
      <w:r>
        <w:rPr>
          <w:sz w:val="24"/>
          <w:szCs w:val="24"/>
        </w:rPr>
        <w:t xml:space="preserve">– Mantovani E, Costa IP, Gauditano G, et al. Description of Lyme disease-like syndrome in Brazil. Is it a new tick borne disease or Lyme disease variation? Braz J Med Biol Res. 2007;40(4):443-456.</w:t>
      </w:r>
    </w:p>
    <w:p>
      <w:pPr>
        <w:spacing w:after="80"/>
        <w:ind w:left="400"/>
      </w:pPr>
      <w:r>
        <w:rPr>
          <w:sz w:val="24"/>
          <w:szCs w:val="24"/>
        </w:rPr>
        <w:t xml:space="preserve">– Ministério da Saúde. Nota Informativa sobre Doença de Lyme no Brasil. Brasília: MS/SVS; 2015.</w:t>
      </w:r>
    </w:p>
    <w:p>
      <w:pPr>
        <w:spacing w:after="80"/>
        <w:ind w:left="400"/>
      </w:pPr>
      <w:r>
        <w:rPr>
          <w:sz w:val="24"/>
          <w:szCs w:val="24"/>
        </w:rPr>
        <w:t xml:space="preserve">– Hovius JW, de Groot V, Lim CK. Lyme neuroborreliosis: pathophysiology and clinical management. Nat Rev Neurol. 2023;19(2):79-93.</w:t>
      </w:r>
    </w:p>
    <w:p>
      <w:pPr>
        <w:spacing w:after="80"/>
        <w:ind w:left="400"/>
      </w:pPr>
      <w:r>
        <w:rPr>
          <w:sz w:val="24"/>
          <w:szCs w:val="24"/>
        </w:rPr>
        <w:t xml:space="preserve">– Doppler K, Rittner HL, Deckert M, et al. Small fiber neuropathy: a burning problem. Dtsch Arztebl Int. 2021;118(17):294-300.</w:t>
      </w:r>
    </w:p>
    <w:p>
      <w:pPr>
        <w:spacing w:after="80"/>
        <w:ind w:left="400"/>
      </w:pPr>
      <w:r>
        <w:rPr>
          <w:sz w:val="24"/>
          <w:szCs w:val="24"/>
        </w:rPr>
        <w:t xml:space="preserve">– Christen HJ. Lyme neuroborreliosis in children. Ann Med. 1996;28(3):235-240.</w:t>
      </w:r>
    </w:p>
    <w:p>
      <w:pPr>
        <w:spacing w:after="80"/>
        <w:ind w:left="400"/>
      </w:pPr>
      <w:r>
        <w:rPr>
          <w:sz w:val="24"/>
          <w:szCs w:val="24"/>
        </w:rPr>
        <w:t xml:space="preserve">– Miller WR, Rollnick S. Motivational Interviewing: Helping People Change. 3rd ed. Guilford Press, 2012.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2026-10-01T00:44:26.431Z</dcterms:created>
  <dcterms:modified xsi:type="dcterms:W3CDTF">2026-10-01T00:44:26.433Z</dcterms:modified>
</cp:coreProperties>
</file>

<file path=docProps/custom.xml><?xml version="1.0" encoding="utf-8"?>
<Properties xmlns="http://schemas.openxmlformats.org/officeDocument/2006/custom-properties" xmlns:vt="http://schemas.openxmlformats.org/officeDocument/2006/docPropsVTypes"/>
</file>