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BDC4" w14:textId="77777777" w:rsidR="003654DC" w:rsidRDefault="0019749A">
      <w:pPr>
        <w:pStyle w:val="Ttulo1"/>
        <w:spacing w:before="300" w:after="120"/>
      </w:pPr>
      <w:r>
        <w:t>PACIENTE VIRTUAL — CASO 36</w:t>
      </w:r>
    </w:p>
    <w:p w14:paraId="27B2BDC6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Eixo A: </w:t>
      </w:r>
      <w:r>
        <w:rPr>
          <w:sz w:val="24"/>
          <w:szCs w:val="24"/>
        </w:rPr>
        <w:t>Musculoesquelético / Reumatológico</w:t>
      </w:r>
    </w:p>
    <w:p w14:paraId="27B2BDC7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Eixo B: </w:t>
      </w:r>
      <w:r>
        <w:rPr>
          <w:sz w:val="24"/>
          <w:szCs w:val="24"/>
        </w:rPr>
        <w:t>Perfil comunicacional: Resistente / Hostil</w:t>
      </w:r>
    </w:p>
    <w:p w14:paraId="27B2BDC8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Eixo C: </w:t>
      </w:r>
      <w:r>
        <w:rPr>
          <w:sz w:val="24"/>
          <w:szCs w:val="24"/>
        </w:rPr>
        <w:t>Mulher, 48 anos, parda — ensino médio completo — renda baixa</w:t>
      </w:r>
    </w:p>
    <w:p w14:paraId="27B2BDC9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Diagnóstico principal: </w:t>
      </w:r>
      <w:r>
        <w:rPr>
          <w:sz w:val="24"/>
          <w:szCs w:val="24"/>
        </w:rPr>
        <w:t>Síndrome do Túnel do Carpo bilateral (forma moderada a grave à direita)</w:t>
      </w:r>
    </w:p>
    <w:p w14:paraId="27B2BDCA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Diagnóstico secundário / complicador: </w:t>
      </w:r>
      <w:r>
        <w:rPr>
          <w:sz w:val="24"/>
          <w:szCs w:val="24"/>
        </w:rPr>
        <w:t>Hipotireoidismo não tratado (causa secundária de STC)</w:t>
      </w:r>
    </w:p>
    <w:p w14:paraId="27B2BDCB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Queixa principal: </w:t>
      </w:r>
      <w:r>
        <w:rPr>
          <w:sz w:val="24"/>
          <w:szCs w:val="24"/>
        </w:rPr>
        <w:t>Fraqueza e dormência nas mãos</w:t>
      </w:r>
    </w:p>
    <w:p w14:paraId="27B2BDCC" w14:textId="77777777" w:rsidR="003654DC" w:rsidRDefault="003654DC">
      <w:pPr>
        <w:spacing w:after="80"/>
      </w:pPr>
    </w:p>
    <w:p w14:paraId="27B2BDCD" w14:textId="77777777" w:rsidR="003654DC" w:rsidRDefault="0019749A">
      <w:pPr>
        <w:pStyle w:val="Ttulo1"/>
        <w:spacing w:before="300" w:after="120"/>
      </w:pPr>
      <w:r>
        <w:t>2. CONTEXTO CLÍNICO PARA O FACILITADOR</w:t>
      </w:r>
    </w:p>
    <w:p w14:paraId="27B2BDCE" w14:textId="77777777" w:rsidR="003654DC" w:rsidRDefault="0019749A">
      <w:pPr>
        <w:pStyle w:val="Ttulo2"/>
        <w:spacing w:before="200" w:after="80"/>
      </w:pPr>
      <w:r>
        <w:t>Resumo do caso</w:t>
      </w:r>
    </w:p>
    <w:p w14:paraId="27B2BDCF" w14:textId="77777777" w:rsidR="003654DC" w:rsidRDefault="0019749A">
      <w:pPr>
        <w:spacing w:after="120"/>
      </w:pPr>
      <w:r>
        <w:rPr>
          <w:sz w:val="24"/>
          <w:szCs w:val="24"/>
        </w:rPr>
        <w:t>Maria das Dores Pereira Lima, 48 anos, costureira há 26 anos, trabalha em regime de produção em casa e em uma pequena confecção no bairro. Apresenta dormência, formigamento e fraqueza progressivos nas mãos há 8 meses, com piora noturna que a acorda várias vezes por semana. O quadro é bilateral, mais intenso à direita (mão dominante). O diagnóstico é Síndrome do Túnel do Carpo bilateral, com comprometimento moderado à esquerda e moderado a grave à direita, com atrofia tenar incipiente neste lado. Há causa se</w:t>
      </w:r>
      <w:r>
        <w:rPr>
          <w:sz w:val="24"/>
          <w:szCs w:val="24"/>
        </w:rPr>
        <w:t>cundária identificável: hipotireoidismo não tratado há 3 anos por abandono da levotiroxina.</w:t>
      </w:r>
    </w:p>
    <w:p w14:paraId="27B2BDD0" w14:textId="77777777" w:rsidR="003654DC" w:rsidRDefault="0019749A">
      <w:pPr>
        <w:spacing w:after="120"/>
      </w:pPr>
      <w:r>
        <w:rPr>
          <w:sz w:val="24"/>
          <w:szCs w:val="24"/>
        </w:rPr>
        <w:t>Maria atendeu em duas Unidades Básicas de Saúde anteriormente e recebeu diagnósticos divergentes ("artrite" e "nervo"), saindo sem diagnóstico claro e sem encaminhamento. Veio à consulta atual por insistência da filha. É desconfiada do sistema de saúde, impaciente (perde renda a cada hora fora do trabalho), resistente à realização de exames ("não precisa de tanto exame, é só me dar um remédio") e com medo explícito de cirurgia ("minha vizinha operou e ficou pior"). Usa diclofenaco sem receita para aliviar a</w:t>
      </w:r>
      <w:r>
        <w:rPr>
          <w:sz w:val="24"/>
          <w:szCs w:val="24"/>
        </w:rPr>
        <w:t xml:space="preserve"> dor.</w:t>
      </w:r>
    </w:p>
    <w:p w14:paraId="27B2BDD1" w14:textId="77777777" w:rsidR="003654DC" w:rsidRDefault="0019749A">
      <w:pPr>
        <w:pStyle w:val="Ttulo2"/>
        <w:spacing w:before="200" w:after="80"/>
      </w:pPr>
      <w:r>
        <w:t>Fisiopatologia relevante</w:t>
      </w:r>
    </w:p>
    <w:p w14:paraId="27B2BDD2" w14:textId="77777777" w:rsidR="003654DC" w:rsidRDefault="0019749A">
      <w:pPr>
        <w:spacing w:after="120"/>
      </w:pPr>
      <w:r>
        <w:rPr>
          <w:sz w:val="24"/>
          <w:szCs w:val="24"/>
        </w:rPr>
        <w:t>A Síndrome do Túnel do Carpo (STC) é a mononeuropatia compressiva mais comum, causada por compressão do nervo mediano no interior do túnel do carpo — estrutura osteofibrosa delimitada pelos ossos do carpo e pelo ligamento transverso do carpo (retináculo dos flexores). A compressão leva a desmielinização segmentar e, nos casos graves, degeneração axonal do nervo mediano.</w:t>
      </w:r>
    </w:p>
    <w:p w14:paraId="27B2BDD3" w14:textId="77777777" w:rsidR="003654DC" w:rsidRDefault="0019749A">
      <w:pPr>
        <w:spacing w:after="120"/>
      </w:pPr>
      <w:r>
        <w:rPr>
          <w:sz w:val="24"/>
          <w:szCs w:val="24"/>
        </w:rPr>
        <w:t>O nervo mediano supre a sensibilidade dos dedos I, II, III e a metade lateral do IV dedo (incluindo suas falanges palmares), além da musculatura tenar (abdutor curto do polegar, oponente do polegar, flexor curto do polegar — porção superficial). A fraqueza tenar e a atrofia são sinais de gravidade e cronificação.</w:t>
      </w:r>
    </w:p>
    <w:p w14:paraId="27B2BDD4" w14:textId="77777777" w:rsidR="003654DC" w:rsidRDefault="0019749A">
      <w:pPr>
        <w:spacing w:after="120"/>
      </w:pPr>
      <w:r>
        <w:rPr>
          <w:sz w:val="24"/>
          <w:szCs w:val="24"/>
        </w:rPr>
        <w:t>Causas secundárias de STC a sempre investigar: hipotireoidismo (acúmulo de mucopolissacarídeos no retináculo), diabetes mellitus (espessamento do perineuro), artrite reumatoide (tenossinovite dos flexores), gravidez (retenção hídrica), obesidade, insuficiência renal. No caso de Maria, o hipotireoidismo não controlado é o fator secundário mais relevante.</w:t>
      </w:r>
    </w:p>
    <w:p w14:paraId="27B2BDD5" w14:textId="77777777" w:rsidR="003654DC" w:rsidRDefault="0019749A">
      <w:pPr>
        <w:spacing w:after="120"/>
      </w:pPr>
      <w:r>
        <w:rPr>
          <w:sz w:val="24"/>
          <w:szCs w:val="24"/>
        </w:rPr>
        <w:t>Sinal de Flick (patognomônico): alívio da parestesia ao sacudir a mão, como para "jogar fora" a dormência — presente em mais de 90% dos casos de STC. Sinal de Tinel: formigamento ao percutir o canal do carpo na face volar do pulso. Sinal de Phalen: reprodução das parestesias com flexão do punho por 60 segundos. Teste de Durkan (compressão direta do carpo): alta sensibilidade e especificidade.</w:t>
      </w:r>
    </w:p>
    <w:p w14:paraId="27B2BDD6" w14:textId="77777777" w:rsidR="003654DC" w:rsidRDefault="0019749A">
      <w:pPr>
        <w:pStyle w:val="Ttulo2"/>
        <w:spacing w:before="200" w:after="80"/>
      </w:pPr>
      <w:r>
        <w:t>Dados que só emergem quando ativamente interrogados</w:t>
      </w:r>
    </w:p>
    <w:p w14:paraId="27B2BDD7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Acorda à noite com a mão "morta" e pesada — 3 a 4 vezes por semana (piora noturna — clássico da STC, por posicionamento do punho em flexão durante o sono)</w:t>
      </w:r>
    </w:p>
    <w:p w14:paraId="27B2BDD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Flick sign: "sacudo a mão e passa um pouco" — nunca foi perguntada sobre isso por nenhum médico anterior</w:t>
      </w:r>
    </w:p>
    <w:p w14:paraId="27B2BDD9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Hipotireoidismo: diagnóstico há 3 anos, usou levotiroxina 50 mcg por 6 meses e suspendeu porque "achei que já estava curada" — não retornou ao médico desde então</w:t>
      </w:r>
    </w:p>
    <w:p w14:paraId="27B2BDDA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Menopausa há 2 anos — nega fogachos intensos, mas refere inchaço nas mãos pela manhã</w:t>
      </w:r>
    </w:p>
    <w:p w14:paraId="27B2BDDB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Nunca fez glicemia de jejum — nega diabetes, mas tem sobrepeso e histórico familiar</w:t>
      </w:r>
    </w:p>
    <w:p w14:paraId="27B2BDDC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Usa diclofenaco sódico 50 mg (comprado sem receita) "quando piora muito" — não considera como medicamento importante, omite se não for perguntada</w:t>
      </w:r>
    </w:p>
    <w:p w14:paraId="27B2BDDD" w14:textId="77777777" w:rsidR="003654DC" w:rsidRDefault="0019749A">
      <w:pPr>
        <w:spacing w:after="100"/>
      </w:pPr>
      <w:r>
        <w:rPr>
          <w:i/>
          <w:iCs/>
          <w:color w:val="555555"/>
          <w:sz w:val="22"/>
          <w:szCs w:val="22"/>
        </w:rPr>
        <w:t>Nota ao facilitador: o diagnóstico de hipotireoidismo não tratado muda a conduta — antes de indicar cirurgia, é obrigatório tratar a causa secundária e reavaliá-la. O estudante deve solicitar TSH, T4 livre, glicemia, hemograma e ENMG (eletroneuromiografia) para confirmação diagnóstica e estadiamento.</w:t>
      </w:r>
    </w:p>
    <w:p w14:paraId="27B2BDDE" w14:textId="77777777" w:rsidR="003654DC" w:rsidRDefault="003654DC">
      <w:pPr>
        <w:spacing w:after="80"/>
      </w:pPr>
    </w:p>
    <w:p w14:paraId="27B2BDDF" w14:textId="77777777" w:rsidR="003654DC" w:rsidRDefault="0019749A">
      <w:pPr>
        <w:pStyle w:val="Ttulo1"/>
        <w:spacing w:before="300" w:after="120"/>
      </w:pPr>
      <w:r>
        <w:t>3. QUEIXA PRINCIPAL</w:t>
      </w:r>
    </w:p>
    <w:p w14:paraId="27B2BDE0" w14:textId="77777777" w:rsidR="003654DC" w:rsidRDefault="0019749A">
      <w:pPr>
        <w:spacing w:after="100"/>
      </w:pPr>
      <w:r>
        <w:rPr>
          <w:i/>
          <w:iCs/>
          <w:sz w:val="24"/>
          <w:szCs w:val="24"/>
        </w:rPr>
        <w:t>"Doutor, minhas mãos estão ficando fracas e dão um formigamento que não para. Tô perdendo força pra costurar."</w:t>
      </w:r>
    </w:p>
    <w:p w14:paraId="27B2BDE1" w14:textId="77777777" w:rsidR="003654DC" w:rsidRDefault="003654DC">
      <w:pPr>
        <w:spacing w:after="80"/>
      </w:pPr>
    </w:p>
    <w:p w14:paraId="27B2BDE2" w14:textId="77777777" w:rsidR="003654DC" w:rsidRDefault="0019749A">
      <w:pPr>
        <w:pStyle w:val="Ttulo1"/>
        <w:spacing w:before="300" w:after="120"/>
      </w:pPr>
      <w:r>
        <w:t>4. HISTÓRIA DA DOENÇA ATUAL</w:t>
      </w:r>
    </w:p>
    <w:p w14:paraId="27B2BDE3" w14:textId="77777777" w:rsidR="003654DC" w:rsidRDefault="0019749A">
      <w:pPr>
        <w:spacing w:after="120"/>
      </w:pPr>
      <w:r>
        <w:rPr>
          <w:sz w:val="24"/>
          <w:szCs w:val="24"/>
        </w:rPr>
        <w:t>Maria relata que há cerca de 8 meses começou a notar "formigamento" e dormência nos dedos das mãos, inicialmente só à direita e principalmente nos três primeiros dedos e parte do quarto. Nas últimas semanas o lado esquerdo também está comprometido, mas com menor intensidade. A fraqueza progressiva na preensão e na pinça fina está comprometendo o trabalho: ela enfrenta dificuldade para enfilar agulha, segurar a tesoura e fazer acabamentos finos.</w:t>
      </w:r>
    </w:p>
    <w:p w14:paraId="27B2BDE4" w14:textId="77777777" w:rsidR="003654DC" w:rsidRDefault="0019749A">
      <w:pPr>
        <w:spacing w:after="120"/>
      </w:pPr>
      <w:r>
        <w:rPr>
          <w:sz w:val="24"/>
          <w:szCs w:val="24"/>
        </w:rPr>
        <w:t>Os sintomas pioram à noite e a acordam com frequência com a sensação de "mão morta", pesada e adormecida. Nega saber explicar o que piora durante o dia, mas ao ser questionada especificamente, confirma que a dormência piora ao segurar o volante do carro da filha por tempo prolongado e ao usar o celular. Refere também que, ao sacudir a mão, a dormência melhora parcialmente — nunca havia associado esse gesto ao sintoma.</w:t>
      </w:r>
    </w:p>
    <w:p w14:paraId="27B2BDE5" w14:textId="77777777" w:rsidR="003654DC" w:rsidRDefault="0019749A">
      <w:pPr>
        <w:spacing w:after="120"/>
      </w:pPr>
      <w:r>
        <w:rPr>
          <w:sz w:val="24"/>
          <w:szCs w:val="24"/>
        </w:rPr>
        <w:t>Procurou a UBS do seu bairro há 5 meses; o médico disse que era "artrite no início" e prescreveu anti-inflamatório. Sem melhora, foi a outra UBS; o segundo médico disse que era "nervo" e pediu para ela "repousar mais". Nenhum exame foi solicitado. A filha então agendou a consulta atual.</w:t>
      </w:r>
    </w:p>
    <w:p w14:paraId="27B2BDE6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Início: </w:t>
      </w:r>
      <w:r>
        <w:rPr>
          <w:sz w:val="24"/>
          <w:szCs w:val="24"/>
        </w:rPr>
        <w:t>Há 8 meses — insidioso, progressivo</w:t>
      </w:r>
    </w:p>
    <w:p w14:paraId="27B2BDE7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Localização: </w:t>
      </w:r>
      <w:r>
        <w:rPr>
          <w:sz w:val="24"/>
          <w:szCs w:val="24"/>
        </w:rPr>
        <w:t>Bilateral — mais intensa à direita (mão dominante); dormência nos dedos I, II, III e lateral do IV</w:t>
      </w:r>
    </w:p>
    <w:p w14:paraId="27B2BDE8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Caráter: </w:t>
      </w:r>
      <w:r>
        <w:rPr>
          <w:sz w:val="24"/>
          <w:szCs w:val="24"/>
        </w:rPr>
        <w:t>Formigamento, dormência, sensação de "mão morta/pesada", dor em queimação leve no punho direito</w:t>
      </w:r>
    </w:p>
    <w:p w14:paraId="27B2BDE9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Intensidade: </w:t>
      </w:r>
      <w:r>
        <w:rPr>
          <w:sz w:val="24"/>
          <w:szCs w:val="24"/>
        </w:rPr>
        <w:t>6/10 à direita, 4/10 à esquerda</w:t>
      </w:r>
    </w:p>
    <w:p w14:paraId="27B2BDEA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Irradiação: </w:t>
      </w:r>
      <w:r>
        <w:rPr>
          <w:sz w:val="24"/>
          <w:szCs w:val="24"/>
        </w:rPr>
        <w:t>Sobe pelo antebraço direito às vezes, especialmente à noite</w:t>
      </w:r>
    </w:p>
    <w:p w14:paraId="27B2BDEB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Fatores de piora: </w:t>
      </w:r>
      <w:r>
        <w:rPr>
          <w:sz w:val="24"/>
          <w:szCs w:val="24"/>
        </w:rPr>
        <w:t>Noite (posicionamento em flexão), segurar objetos por tempo prolongado, costura repetitiva</w:t>
      </w:r>
    </w:p>
    <w:p w14:paraId="27B2BDEC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Fatores de melhora: </w:t>
      </w:r>
      <w:r>
        <w:rPr>
          <w:sz w:val="24"/>
          <w:szCs w:val="24"/>
        </w:rPr>
        <w:t>Sacudir as mãos, elevar o membro, pausa do trabalho</w:t>
      </w:r>
    </w:p>
    <w:p w14:paraId="27B2BDED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Sintomas associados: </w:t>
      </w:r>
      <w:r>
        <w:rPr>
          <w:sz w:val="24"/>
          <w:szCs w:val="24"/>
        </w:rPr>
        <w:t>Fraqueza na pinça e preensão; inchaço leve nas mãos pela manhã</w:t>
      </w:r>
    </w:p>
    <w:p w14:paraId="27B2BDEE" w14:textId="77777777" w:rsidR="003654DC" w:rsidRDefault="003654DC">
      <w:pPr>
        <w:spacing w:after="80"/>
      </w:pPr>
    </w:p>
    <w:p w14:paraId="27B2BDEF" w14:textId="77777777" w:rsidR="003654DC" w:rsidRDefault="0019749A">
      <w:pPr>
        <w:pStyle w:val="Ttulo1"/>
        <w:spacing w:before="300" w:after="120"/>
      </w:pPr>
      <w:r>
        <w:t>5. ANTECEDENTES PESSOAIS</w:t>
      </w:r>
    </w:p>
    <w:p w14:paraId="27B2BDF0" w14:textId="77777777" w:rsidR="003654DC" w:rsidRDefault="0019749A">
      <w:pPr>
        <w:pStyle w:val="Ttulo2"/>
        <w:spacing w:before="200" w:after="80"/>
      </w:pPr>
      <w:r>
        <w:t>Doenças prévias</w:t>
      </w:r>
    </w:p>
    <w:p w14:paraId="27B2BDF1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Hipotireoidismo — diagnosticado há 3 anos em exame de rotina (TSH 12 mUI/L), prescrita levotiroxina 50 mcg. Tomou por 6 meses e suspendeu por conta própria: "achei que já estava curada, parei de sentir falta de ar." Não retornou ao endocrinologista desde então. Não sabe informar o último TSH.</w:t>
      </w:r>
    </w:p>
    <w:p w14:paraId="27B2BDF2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Sobrepeso — IMC estimado 28,4 kg/m². Nega ter sido orientada sobre isso.</w:t>
      </w:r>
    </w:p>
    <w:p w14:paraId="27B2BDF3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Menopausa — última menstruação há 2 anos, instalação natural. Nega reposição hormonal. Refere inchaço leve nas mãos pela manhã, que atribui ao "calor de Teresina".</w:t>
      </w:r>
    </w:p>
    <w:p w14:paraId="27B2BDF4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Hipertensão arterial — nega. Nunca verificou a pressão regularmente.</w:t>
      </w:r>
    </w:p>
    <w:p w14:paraId="27B2BDF5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Diabetes mellitus — nega, mas nunca realizou glicemia de jejum. Mãe tinha "açúcar".</w:t>
      </w:r>
    </w:p>
    <w:p w14:paraId="27B2BDF6" w14:textId="77777777" w:rsidR="003654DC" w:rsidRDefault="003654DC">
      <w:pPr>
        <w:spacing w:after="80"/>
      </w:pPr>
    </w:p>
    <w:p w14:paraId="27B2BDF7" w14:textId="77777777" w:rsidR="003654DC" w:rsidRDefault="0019749A">
      <w:pPr>
        <w:pStyle w:val="Ttulo2"/>
        <w:spacing w:before="200" w:after="80"/>
      </w:pPr>
      <w:r>
        <w:t>Cirurgias e internações</w:t>
      </w:r>
    </w:p>
    <w:p w14:paraId="27B2BDF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Cesariana aos 28 anos — sem intercorrências</w:t>
      </w:r>
    </w:p>
    <w:p w14:paraId="27B2BDF9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Nenhuma outra cirurgia. Medo explícito de cirurgia — a vizinha fez "cirurgia no pulso" e referiu piorar.</w:t>
      </w:r>
    </w:p>
    <w:p w14:paraId="27B2BDFA" w14:textId="77777777" w:rsidR="003654DC" w:rsidRDefault="003654DC">
      <w:pPr>
        <w:spacing w:after="80"/>
      </w:pPr>
    </w:p>
    <w:p w14:paraId="27B2BDFB" w14:textId="77777777" w:rsidR="003654DC" w:rsidRDefault="0019749A">
      <w:pPr>
        <w:pStyle w:val="Ttulo2"/>
        <w:spacing w:before="200" w:after="80"/>
      </w:pPr>
      <w:r>
        <w:t>Alergias</w:t>
      </w:r>
    </w:p>
    <w:p w14:paraId="27B2BDFC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alergias medicamentosas conhecidas</w:t>
      </w:r>
    </w:p>
    <w:p w14:paraId="27B2BDFD" w14:textId="77777777" w:rsidR="003654DC" w:rsidRDefault="003654DC">
      <w:pPr>
        <w:spacing w:after="80"/>
      </w:pPr>
    </w:p>
    <w:p w14:paraId="27B2BDFE" w14:textId="77777777" w:rsidR="003654DC" w:rsidRDefault="0019749A">
      <w:pPr>
        <w:pStyle w:val="Ttulo2"/>
        <w:spacing w:before="200" w:after="80"/>
      </w:pPr>
      <w:r>
        <w:t>Medicações em uso</w:t>
      </w:r>
    </w:p>
    <w:p w14:paraId="27B2BDFF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Diclofenaco sódico 50 mg — uso eventual, sem receita ("compro na farmácia quando a dor piora"). Não relata espontaneamente; só menciona se perguntada diretamente.</w:t>
      </w:r>
    </w:p>
    <w:p w14:paraId="27B2BE00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Levotiroxina — suspensa há 2,5 anos por conta própria</w:t>
      </w:r>
    </w:p>
    <w:p w14:paraId="27B2BE01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uso de anticoncepcional, corticoide ou qualquer outro medicamento contínuo</w:t>
      </w:r>
    </w:p>
    <w:p w14:paraId="27B2BE02" w14:textId="77777777" w:rsidR="003654DC" w:rsidRDefault="003654DC">
      <w:pPr>
        <w:spacing w:after="80"/>
      </w:pPr>
    </w:p>
    <w:p w14:paraId="27B2BE03" w14:textId="77777777" w:rsidR="003654DC" w:rsidRDefault="0019749A">
      <w:pPr>
        <w:pStyle w:val="Ttulo1"/>
        <w:spacing w:before="300" w:after="120"/>
      </w:pPr>
      <w:r>
        <w:t>6. ANTECEDENTES FAMILIARES</w:t>
      </w:r>
    </w:p>
    <w:p w14:paraId="27B2BE04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Mãe — diabetes mellitus tipo 2, faleceu aos 71 anos por AVC</w:t>
      </w:r>
    </w:p>
    <w:p w14:paraId="27B2BE05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Pai — hipertensão arterial, vivo, 74 anos</w:t>
      </w:r>
    </w:p>
    <w:p w14:paraId="27B2BE06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Irmã mais velha (54 anos) — hipotireoidismo em tratamento</w:t>
      </w:r>
    </w:p>
    <w:p w14:paraId="27B2BE07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história familiar de artrite reumatoide, lúpus ou outras doenças autoimunes</w:t>
      </w:r>
    </w:p>
    <w:p w14:paraId="27B2BE0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história familiar de neuropatias hereditárias</w:t>
      </w:r>
    </w:p>
    <w:p w14:paraId="27B2BE09" w14:textId="77777777" w:rsidR="003654DC" w:rsidRDefault="003654DC">
      <w:pPr>
        <w:spacing w:after="80"/>
      </w:pPr>
    </w:p>
    <w:p w14:paraId="27B2BE0A" w14:textId="77777777" w:rsidR="003654DC" w:rsidRDefault="0019749A">
      <w:pPr>
        <w:pStyle w:val="Ttulo1"/>
        <w:spacing w:before="300" w:after="120"/>
      </w:pPr>
      <w:r>
        <w:t>7. HÁBITOS DE VIDA</w:t>
      </w:r>
    </w:p>
    <w:p w14:paraId="27B2BE0B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Tabagismo: </w:t>
      </w:r>
      <w:r>
        <w:rPr>
          <w:sz w:val="24"/>
          <w:szCs w:val="24"/>
        </w:rPr>
        <w:t>Não fumante</w:t>
      </w:r>
    </w:p>
    <w:p w14:paraId="27B2BE0C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Álcool: </w:t>
      </w:r>
      <w:r>
        <w:rPr>
          <w:sz w:val="24"/>
          <w:szCs w:val="24"/>
        </w:rPr>
        <w:t>Nega uso de álcool</w:t>
      </w:r>
    </w:p>
    <w:p w14:paraId="27B2BE0D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Atividade física: </w:t>
      </w:r>
      <w:r>
        <w:rPr>
          <w:sz w:val="24"/>
          <w:szCs w:val="24"/>
        </w:rPr>
        <w:t>Nenhuma atividade física regular. Caminha eventualmente para o comércio próximo.</w:t>
      </w:r>
    </w:p>
    <w:p w14:paraId="27B2BE0E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Alimentação: </w:t>
      </w:r>
      <w:r>
        <w:rPr>
          <w:sz w:val="24"/>
          <w:szCs w:val="24"/>
        </w:rPr>
        <w:t>Dieta baseada em arroz, feijão, frango, farinha. Consumo elevado de carboidratos simples (pão, biscoito). Raramente come peixe ou verduras.</w:t>
      </w:r>
    </w:p>
    <w:p w14:paraId="27B2BE0F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Costureira — 26 anos de profissão. Trabalha em mesa baixa, com postura fletida, 8 a 10 horas por dia, 6 dias por semana. Regime de produção por peça (blusa, calça). Usa máquina de costura doméstica e industrial.</w:t>
      </w:r>
    </w:p>
    <w:p w14:paraId="27B2BE10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Condições de trabalho: </w:t>
      </w:r>
      <w:r>
        <w:rPr>
          <w:sz w:val="24"/>
          <w:szCs w:val="24"/>
        </w:rPr>
        <w:t>Ergonomia inadequada — punho direito em flexão/extensão repetitiva por horas. Nunca teve orientação de saúde ocupacional.</w:t>
      </w:r>
    </w:p>
    <w:p w14:paraId="27B2BE11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Moradia: </w:t>
      </w:r>
      <w:r>
        <w:rPr>
          <w:sz w:val="24"/>
          <w:szCs w:val="24"/>
        </w:rPr>
        <w:t>Casa própria, alvenaria, 3 cômodos — bairro Lourival Parente, Teresina-PI. Mora com o marido (caminhoneiro, ausente por longos períodos) e a filha de 22 anos.</w:t>
      </w:r>
    </w:p>
    <w:p w14:paraId="27B2BE12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Renda: </w:t>
      </w:r>
      <w:r>
        <w:rPr>
          <w:sz w:val="24"/>
          <w:szCs w:val="24"/>
        </w:rPr>
        <w:t>Aproximadamente 1,5 salário mínimo/mês (produção variável). A filha complementa com estágio.</w:t>
      </w:r>
    </w:p>
    <w:p w14:paraId="27B2BE13" w14:textId="77777777" w:rsidR="003654DC" w:rsidRDefault="003654DC">
      <w:pPr>
        <w:spacing w:after="80"/>
      </w:pPr>
    </w:p>
    <w:p w14:paraId="27B2BE14" w14:textId="77777777" w:rsidR="003654DC" w:rsidRDefault="0019749A">
      <w:pPr>
        <w:pStyle w:val="Ttulo1"/>
        <w:spacing w:before="300" w:after="120"/>
      </w:pPr>
      <w:r>
        <w:t>8. REVISÃO DE SISTEMAS</w:t>
      </w:r>
    </w:p>
    <w:p w14:paraId="27B2BE15" w14:textId="77777777" w:rsidR="003654DC" w:rsidRDefault="0019749A">
      <w:pPr>
        <w:pStyle w:val="Ttulo2"/>
        <w:spacing w:before="200" w:after="80"/>
      </w:pPr>
      <w:r>
        <w:t>Sistema musculoesquelético</w:t>
      </w:r>
    </w:p>
    <w:p w14:paraId="27B2BE16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Dor e rigidez articular pela manhã nas mãos — menos de 30 minutos (não inflamatória). Nega artrite em outras articulações.</w:t>
      </w:r>
    </w:p>
    <w:p w14:paraId="27B2BE17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dor cervical irradiada para os braços (afasta radiculopatia C6-C7 como causa principal)</w:t>
      </w:r>
    </w:p>
    <w:p w14:paraId="27B2BE1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dor nos ombros ou sintomas de síndrome do desfiladeiro torácico</w:t>
      </w:r>
    </w:p>
    <w:p w14:paraId="27B2BE19" w14:textId="77777777" w:rsidR="003654DC" w:rsidRDefault="003654DC">
      <w:pPr>
        <w:spacing w:after="80"/>
      </w:pPr>
    </w:p>
    <w:p w14:paraId="27B2BE1A" w14:textId="77777777" w:rsidR="003654DC" w:rsidRDefault="0019749A">
      <w:pPr>
        <w:pStyle w:val="Ttulo2"/>
        <w:spacing w:before="200" w:after="80"/>
      </w:pPr>
      <w:r>
        <w:t>Sistema endócrino / metabólico</w:t>
      </w:r>
    </w:p>
    <w:p w14:paraId="27B2BE1B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Desde que parou a levotiroxina: ganhou ~4 kg, cansaço progressivo, cabelo mais seco e com queda leve — atribui à menopausa</w:t>
      </w:r>
    </w:p>
    <w:p w14:paraId="27B2BE1C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Obstipação intestinal — 1 evacuação a cada 2-3 dias (pode ser hipotireoidismo)</w:t>
      </w:r>
    </w:p>
    <w:p w14:paraId="27B2BE1D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Pele seca e ressecada — usa hidratante diariamente</w:t>
      </w:r>
    </w:p>
    <w:p w14:paraId="27B2BE1E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intolerância ao frio, mas admite "sentir mais frio do que antes"</w:t>
      </w:r>
    </w:p>
    <w:p w14:paraId="27B2BE1F" w14:textId="77777777" w:rsidR="003654DC" w:rsidRDefault="003654DC">
      <w:pPr>
        <w:spacing w:after="80"/>
      </w:pPr>
    </w:p>
    <w:p w14:paraId="27B2BE20" w14:textId="77777777" w:rsidR="003654DC" w:rsidRDefault="0019749A">
      <w:pPr>
        <w:pStyle w:val="Ttulo2"/>
        <w:spacing w:before="200" w:after="80"/>
      </w:pPr>
      <w:r>
        <w:t>Cardiovascular / respiratório</w:t>
      </w:r>
    </w:p>
    <w:p w14:paraId="27B2BE21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dispneia, palpitações, edema em membros inferiores</w:t>
      </w:r>
    </w:p>
    <w:p w14:paraId="27B2BE22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dor torácica</w:t>
      </w:r>
    </w:p>
    <w:p w14:paraId="27B2BE23" w14:textId="77777777" w:rsidR="003654DC" w:rsidRDefault="003654DC">
      <w:pPr>
        <w:spacing w:after="80"/>
      </w:pPr>
    </w:p>
    <w:p w14:paraId="27B2BE24" w14:textId="77777777" w:rsidR="003654DC" w:rsidRDefault="0019749A">
      <w:pPr>
        <w:pStyle w:val="Ttulo2"/>
        <w:spacing w:before="200" w:after="80"/>
      </w:pPr>
      <w:r>
        <w:t>Neurológico</w:t>
      </w:r>
    </w:p>
    <w:p w14:paraId="27B2BE25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Parestesias já descritas — restritas à distribuição do nervo mediano bilateral</w:t>
      </w:r>
    </w:p>
    <w:p w14:paraId="27B2BE26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fraqueza em membros inferiores, alteração de marcha, perda de equilíbrio</w:t>
      </w:r>
    </w:p>
    <w:p w14:paraId="27B2BE27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cefaleia, alterações visuais ou auditivas</w:t>
      </w:r>
    </w:p>
    <w:p w14:paraId="27B2BE2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Sem alterações cognitivas referidas</w:t>
      </w:r>
    </w:p>
    <w:p w14:paraId="27B2BE29" w14:textId="77777777" w:rsidR="003654DC" w:rsidRDefault="003654DC">
      <w:pPr>
        <w:spacing w:after="80"/>
      </w:pPr>
    </w:p>
    <w:p w14:paraId="27B2BE2A" w14:textId="77777777" w:rsidR="003654DC" w:rsidRDefault="0019749A">
      <w:pPr>
        <w:pStyle w:val="Ttulo2"/>
        <w:spacing w:before="200" w:after="80"/>
      </w:pPr>
      <w:r>
        <w:t>Pele / mucosas</w:t>
      </w:r>
    </w:p>
    <w:p w14:paraId="27B2BE2B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Pele ressecada, especialmente nas mãos e cotovelos — atribui ao trabalho com tecido</w:t>
      </w:r>
    </w:p>
    <w:p w14:paraId="27B2BE2C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lesões cutâneas, fotossensibilidade ou fenômeno de Raynaud</w:t>
      </w:r>
    </w:p>
    <w:p w14:paraId="27B2BE2D" w14:textId="77777777" w:rsidR="003654DC" w:rsidRDefault="003654DC">
      <w:pPr>
        <w:spacing w:after="80"/>
      </w:pPr>
    </w:p>
    <w:p w14:paraId="27B2BE2E" w14:textId="77777777" w:rsidR="003654DC" w:rsidRDefault="0019749A">
      <w:pPr>
        <w:pStyle w:val="Ttulo2"/>
        <w:spacing w:before="200" w:after="80"/>
      </w:pPr>
      <w:r>
        <w:t>Ginecológico</w:t>
      </w:r>
    </w:p>
    <w:p w14:paraId="27B2BE2F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G2P2A0. Menopausa há 2 anos. Nega sangramento pós-menopausa.</w:t>
      </w:r>
    </w:p>
    <w:p w14:paraId="27B2BE30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Preventivo realizado há 2 anos — resultado normal</w:t>
      </w:r>
    </w:p>
    <w:p w14:paraId="27B2BE31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Mamografia nunca realizada — não sabia que era indicada para sua faixa etária</w:t>
      </w:r>
    </w:p>
    <w:p w14:paraId="27B2BE32" w14:textId="77777777" w:rsidR="003654DC" w:rsidRDefault="003654DC">
      <w:pPr>
        <w:spacing w:after="80"/>
      </w:pPr>
    </w:p>
    <w:p w14:paraId="27B2BE33" w14:textId="77777777" w:rsidR="003654DC" w:rsidRDefault="0019749A">
      <w:pPr>
        <w:pStyle w:val="Ttulo1"/>
        <w:spacing w:before="300" w:after="120"/>
      </w:pPr>
      <w:r>
        <w:t>9. EXAME FÍSICO</w:t>
      </w:r>
    </w:p>
    <w:p w14:paraId="27B2BE34" w14:textId="77777777" w:rsidR="003654DC" w:rsidRDefault="0019749A">
      <w:pPr>
        <w:pStyle w:val="Ttulo2"/>
        <w:spacing w:before="200" w:after="80"/>
      </w:pPr>
      <w:r>
        <w:t>Dados vitais e antropometria</w:t>
      </w:r>
    </w:p>
    <w:p w14:paraId="27B2BE35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134 × 88 mmHg (membro superior direito, sentada)</w:t>
      </w:r>
    </w:p>
    <w:p w14:paraId="27B2BE36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68 bpm — regular</w:t>
      </w:r>
    </w:p>
    <w:p w14:paraId="27B2BE37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>16 irpm</w:t>
      </w:r>
    </w:p>
    <w:p w14:paraId="27B2BE38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Tax: </w:t>
      </w:r>
      <w:r>
        <w:rPr>
          <w:sz w:val="24"/>
          <w:szCs w:val="24"/>
        </w:rPr>
        <w:t>36,4 °C</w:t>
      </w:r>
    </w:p>
    <w:p w14:paraId="27B2BE39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73 kg</w:t>
      </w:r>
    </w:p>
    <w:p w14:paraId="27B2BE3A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1,60 m</w:t>
      </w:r>
    </w:p>
    <w:p w14:paraId="27B2BE3B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28,5 kg/m² — sobrepeso</w:t>
      </w:r>
    </w:p>
    <w:p w14:paraId="27B2BE3C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SatO2: </w:t>
      </w:r>
      <w:r>
        <w:rPr>
          <w:sz w:val="24"/>
          <w:szCs w:val="24"/>
        </w:rPr>
        <w:t>98% em ar ambiente</w:t>
      </w:r>
    </w:p>
    <w:p w14:paraId="27B2BE3D" w14:textId="77777777" w:rsidR="003654DC" w:rsidRDefault="003654DC">
      <w:pPr>
        <w:spacing w:after="80"/>
      </w:pPr>
    </w:p>
    <w:p w14:paraId="27B2BE3E" w14:textId="77777777" w:rsidR="003654DC" w:rsidRDefault="0019749A">
      <w:pPr>
        <w:pStyle w:val="Ttulo2"/>
        <w:spacing w:before="200" w:after="80"/>
      </w:pPr>
      <w:r>
        <w:t>Aspectos gerais</w:t>
      </w:r>
    </w:p>
    <w:p w14:paraId="27B2BE3F" w14:textId="77777777" w:rsidR="003654DC" w:rsidRDefault="0019749A">
      <w:pPr>
        <w:spacing w:after="120"/>
      </w:pPr>
      <w:r>
        <w:rPr>
          <w:sz w:val="24"/>
          <w:szCs w:val="24"/>
        </w:rPr>
        <w:t>Paciente em bom estado geral, comunicativa, ansiosa e com postura defensiva. Pele parda, ligeiramente seca. Fácies sem edema periorbitário evidente. Cabelos com leve ressecamento. Sem bócio palpável.</w:t>
      </w:r>
    </w:p>
    <w:p w14:paraId="27B2BE40" w14:textId="77777777" w:rsidR="003654DC" w:rsidRDefault="003654DC">
      <w:pPr>
        <w:spacing w:after="80"/>
      </w:pPr>
    </w:p>
    <w:p w14:paraId="27B2BE41" w14:textId="77777777" w:rsidR="003654DC" w:rsidRDefault="0019749A">
      <w:pPr>
        <w:pStyle w:val="Ttulo2"/>
        <w:spacing w:before="200" w:after="80"/>
      </w:pPr>
      <w:r>
        <w:t>Exame das mãos e punhos — achados chave</w:t>
      </w:r>
    </w:p>
    <w:p w14:paraId="27B2BE42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Mão direita: atrofia tenar incipiente — redução do volume da eminência tenar comparada à esquerda. Força de preensão globalmente reduzida (Jamar: 18 kg à direita vs. 26 kg à esquerda). Força de pinça polegar-indicador reduzida à direita.</w:t>
      </w:r>
    </w:p>
    <w:p w14:paraId="27B2BE43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Sinal de Tinel positivo bilateral — percussão sobre o canal do carpo reproduz formigamento nos dedos I-III (mais intenso à direita)</w:t>
      </w:r>
    </w:p>
    <w:p w14:paraId="27B2BE44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Sinal de Phalen positivo bilateral — flexão do punho a 90° por 45 segundos reproduz parestesias bilaterais (mais precoce à direita)</w:t>
      </w:r>
    </w:p>
    <w:p w14:paraId="27B2BE45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Teste de Durkan (compressão direta): positivo à direita após 15 segundos; positivo à esquerda após 35 segundos</w:t>
      </w:r>
    </w:p>
    <w:p w14:paraId="27B2BE46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Sensibilidade ao monofilamento de Semmes-Weinstein: limiar aumentado nas polpas dos dedos I-III à direita (4,56 g) — normal à esquerda</w:t>
      </w:r>
    </w:p>
    <w:p w14:paraId="27B2BE47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Reflexos tendinosos dos membros superiores: normais e simétricos (bicipital, tricipital, estilorradial)</w:t>
      </w:r>
    </w:p>
    <w:p w14:paraId="27B2BE4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Nega dor cervical à mobilização — sem sinal de Spurling — afasta radiculopatia cervical</w:t>
      </w:r>
    </w:p>
    <w:p w14:paraId="27B2BE49" w14:textId="77777777" w:rsidR="003654DC" w:rsidRDefault="003654DC">
      <w:pPr>
        <w:spacing w:after="80"/>
      </w:pPr>
    </w:p>
    <w:p w14:paraId="27B2BE4A" w14:textId="77777777" w:rsidR="003654DC" w:rsidRDefault="0019749A">
      <w:pPr>
        <w:pStyle w:val="Ttulo2"/>
        <w:spacing w:before="200" w:after="80"/>
      </w:pPr>
      <w:r>
        <w:t>Outros sistemas</w:t>
      </w:r>
    </w:p>
    <w:p w14:paraId="27B2BE4B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Tireoide: não palpável. Sem bócio.</w:t>
      </w:r>
    </w:p>
    <w:p w14:paraId="27B2BE4C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Abdome: globoso, RHA presentes, sem visceromegalias. Nega dor à palpação.</w:t>
      </w:r>
    </w:p>
    <w:p w14:paraId="27B2BE4D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Membros inferiores: sem edema, pulsos presentes e simétricos</w:t>
      </w:r>
    </w:p>
    <w:p w14:paraId="27B2BE4E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Pele: xerose leve em dorso das mãos e cotovelos — compatível com hipotireoidismo</w:t>
      </w:r>
    </w:p>
    <w:p w14:paraId="27B2BE4F" w14:textId="77777777" w:rsidR="003654DC" w:rsidRDefault="003654DC">
      <w:pPr>
        <w:spacing w:after="80"/>
      </w:pPr>
    </w:p>
    <w:p w14:paraId="27B2BE50" w14:textId="77777777" w:rsidR="003654DC" w:rsidRDefault="0019749A">
      <w:pPr>
        <w:pStyle w:val="Ttulo1"/>
        <w:spacing w:before="300" w:after="120"/>
      </w:pPr>
      <w:r>
        <w:t>10. EXAMES COMPLEMENTARES</w:t>
      </w:r>
    </w:p>
    <w:p w14:paraId="27B2BE51" w14:textId="77777777" w:rsidR="003654DC" w:rsidRDefault="0019749A">
      <w:pPr>
        <w:pStyle w:val="Ttulo2"/>
        <w:spacing w:before="200" w:after="80"/>
      </w:pPr>
      <w:r>
        <w:t>Exames disponíveis (trazidos pela paciente de consultas anteriores)</w:t>
      </w:r>
    </w:p>
    <w:p w14:paraId="27B2BE52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Hemograma (6 meses atrás): </w:t>
      </w:r>
      <w:r>
        <w:rPr>
          <w:sz w:val="24"/>
          <w:szCs w:val="24"/>
        </w:rPr>
        <w:t>Normal. Hb 12,8 g/dL, leucócitos 6.800/mm³, plaquetas 238.000/mm³. Sem anemia.</w:t>
      </w:r>
    </w:p>
    <w:p w14:paraId="27B2BE53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VHS: </w:t>
      </w:r>
      <w:r>
        <w:rPr>
          <w:sz w:val="24"/>
          <w:szCs w:val="24"/>
        </w:rPr>
        <w:t>22 mm/h (normal)</w:t>
      </w:r>
    </w:p>
    <w:p w14:paraId="27B2BE54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PCR: </w:t>
      </w:r>
      <w:r>
        <w:rPr>
          <w:sz w:val="24"/>
          <w:szCs w:val="24"/>
        </w:rPr>
        <w:t>0,4 mg/dL (normal)</w:t>
      </w:r>
    </w:p>
    <w:p w14:paraId="27B2BE55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Fator reumatoide (FR): </w:t>
      </w:r>
      <w:r>
        <w:rPr>
          <w:sz w:val="24"/>
          <w:szCs w:val="24"/>
        </w:rPr>
        <w:t>Negativo</w:t>
      </w:r>
    </w:p>
    <w:p w14:paraId="27B2BE56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TSH (3 anos atrás — no diagnóstico): </w:t>
      </w:r>
      <w:r>
        <w:rPr>
          <w:sz w:val="24"/>
          <w:szCs w:val="24"/>
        </w:rPr>
        <w:t>12,4 mUI/L (alto — hipotireoidismo primário)</w:t>
      </w:r>
    </w:p>
    <w:p w14:paraId="27B2BE57" w14:textId="77777777" w:rsidR="003654DC" w:rsidRDefault="0019749A">
      <w:pPr>
        <w:spacing w:after="80"/>
      </w:pPr>
      <w:r>
        <w:rPr>
          <w:b/>
          <w:bCs/>
          <w:sz w:val="24"/>
          <w:szCs w:val="24"/>
        </w:rPr>
        <w:t xml:space="preserve">T4 livre (3 anos atrás): </w:t>
      </w:r>
      <w:r>
        <w:rPr>
          <w:sz w:val="24"/>
          <w:szCs w:val="24"/>
        </w:rPr>
        <w:t>0,62 ng/dL (baixo)</w:t>
      </w:r>
    </w:p>
    <w:p w14:paraId="27B2BE58" w14:textId="77777777" w:rsidR="003654DC" w:rsidRDefault="003654DC">
      <w:pPr>
        <w:spacing w:after="80"/>
      </w:pPr>
    </w:p>
    <w:p w14:paraId="27B2BE59" w14:textId="77777777" w:rsidR="003654DC" w:rsidRDefault="0019749A">
      <w:pPr>
        <w:pStyle w:val="Ttulo2"/>
        <w:spacing w:before="200" w:after="80"/>
      </w:pPr>
      <w:r>
        <w:t>Exames pendentes a solicitar (conduta)</w:t>
      </w:r>
    </w:p>
    <w:p w14:paraId="27B2BE5A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TSH e T4 livre — obrigatório: hipotireoidismo não tratado é causa secundária de STC e deve ser corrigido antes de decidir sobre cirurgia</w:t>
      </w:r>
    </w:p>
    <w:p w14:paraId="27B2BE5B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Glicemia de jejum e HbA1c — afastar diabetes mellitus (causa secundária e diagnóstico diferencial com neuropatia diabética)</w:t>
      </w:r>
    </w:p>
    <w:p w14:paraId="27B2BE5C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Anti-CCP e Fator Reumatoide — já negativos, mas repetir se houver alteração clínica</w:t>
      </w:r>
    </w:p>
    <w:p w14:paraId="27B2BE5D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ENMG (eletroneuromiografia) bilateral — confirma o diagnóstico, quantifica a gravidade (leve/moderado/grave), avalia degeneração axonal e orienta decisão cirúrgica</w:t>
      </w:r>
    </w:p>
    <w:p w14:paraId="27B2BE5E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Radiografia de punhos bilateral — afastar osteoartrite, calcificações e outras patologias ósseas</w:t>
      </w:r>
    </w:p>
    <w:p w14:paraId="27B2BE5F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Ultrassonografia do canal do carpo — alternativa à ENMG em alguns centros; visualiza espessamento do nervo mediano e do retináculo</w:t>
      </w:r>
    </w:p>
    <w:p w14:paraId="27B2BE60" w14:textId="77777777" w:rsidR="003654DC" w:rsidRDefault="003654DC">
      <w:pPr>
        <w:spacing w:after="80"/>
      </w:pPr>
    </w:p>
    <w:p w14:paraId="27B2BE61" w14:textId="77777777" w:rsidR="003654DC" w:rsidRDefault="0019749A">
      <w:pPr>
        <w:pStyle w:val="Ttulo2"/>
        <w:spacing w:before="200" w:after="80"/>
      </w:pPr>
      <w:r>
        <w:t>ENMG esperada (hipotética, para fins educacionais)</w:t>
      </w:r>
    </w:p>
    <w:p w14:paraId="27B2BE62" w14:textId="77777777" w:rsidR="003654DC" w:rsidRDefault="0019749A">
      <w:pPr>
        <w:spacing w:after="120"/>
      </w:pPr>
      <w:r>
        <w:rPr>
          <w:sz w:val="24"/>
          <w:szCs w:val="24"/>
        </w:rPr>
        <w:t>Mão direita: latência distal motora do nervo mediano aumentada (&gt; 4,5 ms), velocidade de condução sensitiva reduzida (&lt; 40 m/s), amplitude do potencial de ação sensitivo reduzida — padrão compatível com STC moderada a grave com componente axonal incipiente. Mão esquerda: latência levemente aumentada, velocidade de condução sensitiva no limite inferior — STC leve a moderada.</w:t>
      </w:r>
    </w:p>
    <w:p w14:paraId="27B2BE63" w14:textId="77777777" w:rsidR="003654DC" w:rsidRDefault="003654DC">
      <w:pPr>
        <w:spacing w:after="80"/>
      </w:pPr>
    </w:p>
    <w:p w14:paraId="27B2BE64" w14:textId="77777777" w:rsidR="003654DC" w:rsidRDefault="0019749A">
      <w:pPr>
        <w:pStyle w:val="Ttulo1"/>
        <w:spacing w:before="300" w:after="120"/>
      </w:pPr>
      <w:r>
        <w:t>11. ROTEIRO DE COMUNICAÇÃO / PERFIL COMPORTAMENTAL</w:t>
      </w:r>
    </w:p>
    <w:p w14:paraId="27B2BE65" w14:textId="77777777" w:rsidR="003654DC" w:rsidRDefault="0019749A">
      <w:pPr>
        <w:pStyle w:val="Ttulo2"/>
        <w:spacing w:before="200" w:after="80"/>
      </w:pPr>
      <w:r>
        <w:t>Perfil geral de Maria</w:t>
      </w:r>
    </w:p>
    <w:p w14:paraId="27B2BE66" w14:textId="77777777" w:rsidR="003654DC" w:rsidRDefault="0019749A">
      <w:pPr>
        <w:spacing w:after="120"/>
      </w:pPr>
      <w:r>
        <w:rPr>
          <w:sz w:val="24"/>
          <w:szCs w:val="24"/>
        </w:rPr>
        <w:t>Maria é uma mulher prática, trabalhadora, que não gosta de "perder tempo". Desconfia do sistema de saúde após duas consultas sem diagnóstico claro. Sua hostilidade não é agressiva ou sofisticada — é a resistência da pessoa que já foi decepcionada e não acredita que "mais uma consulta" vai mudar algo. Fala com objetividade, respostas curtas. Não minimiza os sintomas — eles a impedem de trabalhar e ela sabe disso — mas resiste a exames, medicalização e, principalmente, à possibilidade de cirurgia.</w:t>
      </w:r>
    </w:p>
    <w:p w14:paraId="27B2BE67" w14:textId="77777777" w:rsidR="003654DC" w:rsidRDefault="003654DC">
      <w:pPr>
        <w:spacing w:after="80"/>
      </w:pPr>
    </w:p>
    <w:p w14:paraId="27B2BE68" w14:textId="77777777" w:rsidR="003654DC" w:rsidRDefault="0019749A">
      <w:pPr>
        <w:pStyle w:val="Ttulo2"/>
        <w:spacing w:before="200" w:after="80"/>
      </w:pPr>
      <w:r>
        <w:t>Frases-padrão e gatilhos comportamentais</w:t>
      </w:r>
    </w:p>
    <w:p w14:paraId="27B2BE69" w14:textId="77777777" w:rsidR="003654DC" w:rsidRDefault="0019749A">
      <w:pPr>
        <w:spacing w:after="100"/>
      </w:pPr>
      <w:r>
        <w:rPr>
          <w:i/>
          <w:iCs/>
          <w:sz w:val="24"/>
          <w:szCs w:val="24"/>
        </w:rPr>
        <w:t>"Doutor, já fui em dois postos e ninguém me disse nada de jeito. Um disse que era artrite, o outro disse que era nervo. Não sei mais o que acreditar."</w:t>
      </w:r>
    </w:p>
    <w:p w14:paraId="27B2BE6A" w14:textId="77777777" w:rsidR="003654DC" w:rsidRDefault="0019749A">
      <w:pPr>
        <w:spacing w:after="100"/>
      </w:pPr>
      <w:r>
        <w:rPr>
          <w:i/>
          <w:iCs/>
          <w:sz w:val="24"/>
          <w:szCs w:val="24"/>
        </w:rPr>
        <w:t>"Precisa de tanto exame assim? Não pode só me dar um remédio que melhore isso?"</w:t>
      </w:r>
    </w:p>
    <w:p w14:paraId="27B2BE6B" w14:textId="77777777" w:rsidR="003654DC" w:rsidRDefault="0019749A">
      <w:pPr>
        <w:spacing w:after="100"/>
      </w:pPr>
      <w:r>
        <w:rPr>
          <w:i/>
          <w:iCs/>
          <w:sz w:val="24"/>
          <w:szCs w:val="24"/>
        </w:rPr>
        <w:t>"Não tenho dinheiro pra ficar fazendo exame caro não. E nem tempo — cada hora que fico aqui é dinheiro que perco."</w:t>
      </w:r>
    </w:p>
    <w:p w14:paraId="27B2BE6C" w14:textId="77777777" w:rsidR="003654DC" w:rsidRDefault="0019749A">
      <w:pPr>
        <w:spacing w:after="100"/>
      </w:pPr>
      <w:r>
        <w:rPr>
          <w:i/>
          <w:iCs/>
          <w:sz w:val="24"/>
          <w:szCs w:val="24"/>
        </w:rPr>
        <w:t>"Cirurgia não faço de jeito nenhum. A minha vizinha Selma fez cirurgia no pulso e ficou pior do que antes."</w:t>
      </w:r>
    </w:p>
    <w:p w14:paraId="27B2BE6D" w14:textId="77777777" w:rsidR="003654DC" w:rsidRDefault="0019749A">
      <w:pPr>
        <w:spacing w:after="100"/>
      </w:pPr>
      <w:r>
        <w:rPr>
          <w:i/>
          <w:iCs/>
          <w:sz w:val="24"/>
          <w:szCs w:val="24"/>
        </w:rPr>
        <w:t>"Isso é coisa do serviço mesmo. Vinte e seis anos costurando, né. Já sabia que ia acabar assim."</w:t>
      </w:r>
    </w:p>
    <w:p w14:paraId="27B2BE6E" w14:textId="77777777" w:rsidR="003654DC" w:rsidRDefault="0019749A">
      <w:pPr>
        <w:spacing w:after="100"/>
      </w:pPr>
      <w:r>
        <w:rPr>
          <w:i/>
          <w:iCs/>
          <w:sz w:val="24"/>
          <w:szCs w:val="24"/>
        </w:rPr>
        <w:t>"(Sobre o hipotireoidismo, quando perguntada) Ah, tomei aquele remédio uns seis meses e me senti melhor. Pensei que estava curada e parei. Já faz uns três anos."</w:t>
      </w:r>
    </w:p>
    <w:p w14:paraId="27B2BE6F" w14:textId="77777777" w:rsidR="003654DC" w:rsidRDefault="0019749A">
      <w:pPr>
        <w:spacing w:after="100"/>
      </w:pPr>
      <w:r>
        <w:rPr>
          <w:i/>
          <w:iCs/>
          <w:sz w:val="24"/>
          <w:szCs w:val="24"/>
        </w:rPr>
        <w:t>"(Sobre dormir) Acordo de madrugada com a mão toda dormida. Fico sacudindo até passar um pouco."</w:t>
      </w:r>
    </w:p>
    <w:p w14:paraId="27B2BE70" w14:textId="77777777" w:rsidR="003654DC" w:rsidRDefault="003654DC">
      <w:pPr>
        <w:spacing w:after="80"/>
      </w:pPr>
    </w:p>
    <w:p w14:paraId="27B2BE71" w14:textId="77777777" w:rsidR="003654DC" w:rsidRDefault="0019749A">
      <w:pPr>
        <w:pStyle w:val="Ttulo2"/>
        <w:spacing w:before="200" w:after="80"/>
      </w:pPr>
      <w:r>
        <w:t>Estratégias comunicacionais recomendadas</w:t>
      </w:r>
    </w:p>
    <w:p w14:paraId="27B2BE72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Validar a frustração com as consultas anteriores sem criticar os colegas: "Entendo que você saiu sem resposta duas vezes — isso é muito frustrante. Vou tentar ser mais claro."</w:t>
      </w:r>
    </w:p>
    <w:p w14:paraId="27B2BE73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Usar linguagem concreta e acessível: substituir "síndrome do túnel do carpo" por "nervo comprimido no pulso" na primeira explicação, antes de introduzir o nome técnico</w:t>
      </w:r>
    </w:p>
    <w:p w14:paraId="27B2BE74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Negociar o mínimo essencial de exames com justificativa prática: "Preciso de dois exames para saber o que está comprimindo o nervo e se tem outra doença que está piorando tudo. Sem isso não consigo te ajudar direito."</w:t>
      </w:r>
    </w:p>
    <w:p w14:paraId="27B2BE75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Abordar o medo de cirurgia com realismo: "Na maioria dos casos, a cirurgia não é o primeiro passo. Vamos começar de outro jeito." — não prometer que nunca precisará, mas desmistificar</w:t>
      </w:r>
    </w:p>
    <w:p w14:paraId="27B2BE76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Conectar o hipotireoidismo ao problema das mãos de forma compreensível: "A tireoide parada pode causar acúmulo de substâncias no pulso que comprimem o nervo. Tratar a tireoide pode já melhorar bastante sua mão, sem cirurgia."</w:t>
      </w:r>
    </w:p>
    <w:p w14:paraId="27B2BE77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Envolver a filha: ela foi quem agendou a consulta e é aliada terapêutica importante — com o consentimento de Maria</w:t>
      </w:r>
    </w:p>
    <w:p w14:paraId="27B2BE7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Reconhecer o impacto ocupacional: "Costura exige muito do pulso — 26 anos de trabalho intenso. Vamos tratar isso para você continuar trabalhando."</w:t>
      </w:r>
    </w:p>
    <w:p w14:paraId="27B2BE79" w14:textId="77777777" w:rsidR="003654DC" w:rsidRDefault="003654DC">
      <w:pPr>
        <w:spacing w:after="80"/>
      </w:pPr>
    </w:p>
    <w:p w14:paraId="27B2BE7A" w14:textId="77777777" w:rsidR="003654DC" w:rsidRDefault="0019749A">
      <w:pPr>
        <w:pStyle w:val="Ttulo2"/>
        <w:spacing w:before="200" w:after="80"/>
      </w:pPr>
      <w:r>
        <w:t>Desafios específicos para o estudante</w:t>
      </w:r>
    </w:p>
    <w:p w14:paraId="27B2BE7B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Obter o histórico de hipotireoidismo e abandono de tratamento — Maria não considera isso relevante e omite se não for questionada diretamente</w:t>
      </w:r>
    </w:p>
    <w:p w14:paraId="27B2BE7C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Investigar o Flick sign (sacudir a mão) — dado altamente específico que Maria apresenta mas nunca foi perguntada</w:t>
      </w:r>
    </w:p>
    <w:p w14:paraId="27B2BE7D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Perguntar sobre despertar noturno com a mão dormente — piora noturna é clássica mas omitida por Maria por achar "normal depois de tanto trabalho"</w:t>
      </w:r>
    </w:p>
    <w:p w14:paraId="27B2BE7E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Revelar o uso de diclofenaco sem receita — Maria não considera um "medicamento de verdade"</w:t>
      </w:r>
    </w:p>
    <w:p w14:paraId="27B2BE7F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Manejar resistência a exames e a cirurgia sem ser autoritário ou condescendente</w:t>
      </w:r>
    </w:p>
    <w:p w14:paraId="27B2BE80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• Não encaminhar para cirurgia sem antes tratar o hipotireoidismo e reavaliar — erro clínico grave a evitar</w:t>
      </w:r>
    </w:p>
    <w:p w14:paraId="27B2BE81" w14:textId="77777777" w:rsidR="003654DC" w:rsidRDefault="003654DC">
      <w:pPr>
        <w:spacing w:after="80"/>
      </w:pPr>
    </w:p>
    <w:p w14:paraId="27B2BE82" w14:textId="77777777" w:rsidR="003654DC" w:rsidRDefault="0019749A">
      <w:pPr>
        <w:pStyle w:val="Ttulo1"/>
        <w:spacing w:before="300" w:after="120"/>
      </w:pPr>
      <w:r>
        <w:t>12. OBJETIVOS DE APRENDIZAGEM</w:t>
      </w:r>
    </w:p>
    <w:p w14:paraId="27B2BE83" w14:textId="77777777" w:rsidR="003654DC" w:rsidRDefault="0019749A">
      <w:pPr>
        <w:pStyle w:val="Ttulo2"/>
        <w:spacing w:before="200" w:after="80"/>
      </w:pPr>
      <w:r>
        <w:t>Conhecimentos clínicos</w:t>
      </w:r>
    </w:p>
    <w:p w14:paraId="27B2BE84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Reconhecer a distribuição sensitiva do nervo mediano e diferenciá-la dos nervos ulnar e radial</w:t>
      </w:r>
    </w:p>
    <w:p w14:paraId="27B2BE85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Identificar os critérios clínicos diagnósticos da STC: parestesias nos dedos I-III e lateral do IV, piora noturna, Flick sign, Tinel, Phalen, Durkan</w:t>
      </w:r>
    </w:p>
    <w:p w14:paraId="27B2BE86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Compreender a graduação de gravidade da STC (leve/moderado/grave) e a indicação de ENMG</w:t>
      </w:r>
    </w:p>
    <w:p w14:paraId="27B2BE87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Conhecer as causas secundárias de STC a sempre pesquisar: hipotireoidismo, diabetes mellitus, artrite reumatoide, gravidez, insuficiência renal</w:t>
      </w:r>
    </w:p>
    <w:p w14:paraId="27B2BE8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Estabelecer diagnóstico diferencial com radiculopatia C6-C7, síndrome do desfiladeiro torácico, neuropatia diabética e doença de Raynaud</w:t>
      </w:r>
    </w:p>
    <w:p w14:paraId="27B2BE89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Planejar o tratamento escalonado: tala noturna + fisioterapia → infiltração de corticoide local → cirurgia (liberação do ligamento transverso do carpo) — após controle das causas secundárias</w:t>
      </w:r>
    </w:p>
    <w:p w14:paraId="27B2BE8A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Compreender que o hipotireoidismo não controlado deve ser tratado antes da indicação cirúrgica</w:t>
      </w:r>
    </w:p>
    <w:p w14:paraId="27B2BE8B" w14:textId="77777777" w:rsidR="003654DC" w:rsidRDefault="003654DC">
      <w:pPr>
        <w:spacing w:after="80"/>
      </w:pPr>
    </w:p>
    <w:p w14:paraId="27B2BE8C" w14:textId="77777777" w:rsidR="003654DC" w:rsidRDefault="0019749A">
      <w:pPr>
        <w:pStyle w:val="Ttulo2"/>
        <w:spacing w:before="200" w:after="80"/>
      </w:pPr>
      <w:r>
        <w:t>Habilidades de comunicação</w:t>
      </w:r>
    </w:p>
    <w:p w14:paraId="27B2BE8D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Conduzir anamnese com paciente resistente e com experiências médicas negativas anteriores, sem invalidar os atendimentos prévios</w:t>
      </w:r>
    </w:p>
    <w:p w14:paraId="27B2BE8E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Adaptar linguagem técnica à realidade do paciente (baixo letramento médico, renda baixa)</w:t>
      </w:r>
    </w:p>
    <w:p w14:paraId="27B2BE8F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Negociar exames e conduta com um paciente que resiste à investigação e teme cirurgia</w:t>
      </w:r>
    </w:p>
    <w:p w14:paraId="27B2BE90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Explorar ativamente dados ocultos: uso de medicamentos sem receita, abandono de tratamento, despertar noturno, Flick sign</w:t>
      </w:r>
    </w:p>
    <w:p w14:paraId="27B2BE91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Reconhecer e manejar o medo de cirurgia com honestidade e empatia</w:t>
      </w:r>
    </w:p>
    <w:p w14:paraId="27B2BE92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Abordar o impacto da doença na capacidade de trabalho e renda — dimensão central para Maria</w:t>
      </w:r>
    </w:p>
    <w:p w14:paraId="27B2BE93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Identificar aliada terapêutica (filha) e integrá-la ao plano, com consentimento da paciente</w:t>
      </w:r>
    </w:p>
    <w:p w14:paraId="27B2BE94" w14:textId="77777777" w:rsidR="003654DC" w:rsidRDefault="003654DC">
      <w:pPr>
        <w:spacing w:after="80"/>
      </w:pPr>
    </w:p>
    <w:p w14:paraId="27B2BE95" w14:textId="77777777" w:rsidR="003654DC" w:rsidRDefault="0019749A">
      <w:pPr>
        <w:pStyle w:val="Ttulo1"/>
        <w:spacing w:before="300" w:after="120"/>
      </w:pPr>
      <w:r>
        <w:t>13. REFERÊNCIAS</w:t>
      </w:r>
    </w:p>
    <w:p w14:paraId="27B2BE96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Aroori S, Spence RAJ. Carpal tunnel syndrome. Ulster Med J. 2008;77(1):6-17.</w:t>
      </w:r>
    </w:p>
    <w:p w14:paraId="27B2BE97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Cartwright MS, Hobson-Webb LD, Boon AJ, et al. Evidence-based guideline: neuromuscular ultrasound for the diagnosis of carpal tunnel syndrome. Muscle Nerve. 2012;46(2):287-293.</w:t>
      </w:r>
    </w:p>
    <w:p w14:paraId="27B2BE98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Ibrahim I, Khan WS, Goddard N, Smitham P. Carpal tunnel syndrome: a review of the recent literature. Open Orthop J. 2012;6:69-76. doi:10.2174/1874325001206010069</w:t>
      </w:r>
    </w:p>
    <w:p w14:paraId="27B2BE99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Katz JN, Simmons BP. Clinical practice: carpal tunnel syndrome. N Engl J Med. 2002;346(23):1807-1812.</w:t>
      </w:r>
    </w:p>
    <w:p w14:paraId="27B2BE9A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Lazaro RP. Hypothyroidism and carpal tunnel syndrome: a reappraisal. Acta Neurol Belg. 2002;102(4):176-178.</w:t>
      </w:r>
    </w:p>
    <w:p w14:paraId="27B2BE9B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Levine DW, et al. A self-administered questionnaire for the assessment of severity of symptoms and functional status in carpal tunnel syndrome. J Bone Joint Surg Am. 1993;75(11):1585-1592. [Questionário de Boston — padrão ouro para avaliação funcional]</w:t>
      </w:r>
    </w:p>
    <w:p w14:paraId="27B2BE9C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Muller M, et al. Sensitivity and specificity of nerve conduction studies, Phalen and Tinel tests in the diagnosis of carpal tunnel syndrome. J Neurol. 2000;247(4):259-262.</w:t>
      </w:r>
    </w:p>
    <w:p w14:paraId="27B2BE9D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Padua L, et al. Carpal tunnel syndrome: clinical features, diagnosis, and management. Lancet Neurol. 2016;15(12):1273-1284. doi:10.1016/S1474-4422(16)30231-9</w:t>
      </w:r>
    </w:p>
    <w:p w14:paraId="27B2BE9E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Sociedade Brasileira de Neurofisiologia Clínica (SBNC). Diretrizes para eletroneuromiografia na síndrome do túnel do carpo, 2018.</w:t>
      </w:r>
    </w:p>
    <w:p w14:paraId="27B2BE9F" w14:textId="77777777" w:rsidR="003654DC" w:rsidRDefault="0019749A">
      <w:pPr>
        <w:spacing w:after="80"/>
        <w:ind w:left="400"/>
      </w:pPr>
      <w:r>
        <w:rPr>
          <w:sz w:val="24"/>
          <w:szCs w:val="24"/>
        </w:rPr>
        <w:t>– Winters JC, et al. Dutch College of General Practitioners guideline "Epicondylitis". Huisarts Wet. 2010 — referência para manejo conservador de síndromes compressivas.</w:t>
      </w:r>
    </w:p>
    <w:sectPr w:rsidR="003654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CA0"/>
    <w:multiLevelType w:val="hybridMultilevel"/>
    <w:tmpl w:val="566861B6"/>
    <w:lvl w:ilvl="0" w:tplc="FB2E95BA">
      <w:start w:val="1"/>
      <w:numFmt w:val="bullet"/>
      <w:lvlText w:val="●"/>
      <w:lvlJc w:val="left"/>
      <w:pPr>
        <w:ind w:left="720" w:hanging="360"/>
      </w:pPr>
    </w:lvl>
    <w:lvl w:ilvl="1" w:tplc="A608F918">
      <w:start w:val="1"/>
      <w:numFmt w:val="bullet"/>
      <w:lvlText w:val="○"/>
      <w:lvlJc w:val="left"/>
      <w:pPr>
        <w:ind w:left="1440" w:hanging="360"/>
      </w:pPr>
    </w:lvl>
    <w:lvl w:ilvl="2" w:tplc="B9E053C2">
      <w:start w:val="1"/>
      <w:numFmt w:val="bullet"/>
      <w:lvlText w:val="■"/>
      <w:lvlJc w:val="left"/>
      <w:pPr>
        <w:ind w:left="2160" w:hanging="360"/>
      </w:pPr>
    </w:lvl>
    <w:lvl w:ilvl="3" w:tplc="A04022EA">
      <w:start w:val="1"/>
      <w:numFmt w:val="bullet"/>
      <w:lvlText w:val="●"/>
      <w:lvlJc w:val="left"/>
      <w:pPr>
        <w:ind w:left="2880" w:hanging="360"/>
      </w:pPr>
    </w:lvl>
    <w:lvl w:ilvl="4" w:tplc="F41EAB34">
      <w:start w:val="1"/>
      <w:numFmt w:val="bullet"/>
      <w:lvlText w:val="○"/>
      <w:lvlJc w:val="left"/>
      <w:pPr>
        <w:ind w:left="3600" w:hanging="360"/>
      </w:pPr>
    </w:lvl>
    <w:lvl w:ilvl="5" w:tplc="8E56E5AA">
      <w:start w:val="1"/>
      <w:numFmt w:val="bullet"/>
      <w:lvlText w:val="■"/>
      <w:lvlJc w:val="left"/>
      <w:pPr>
        <w:ind w:left="4320" w:hanging="360"/>
      </w:pPr>
    </w:lvl>
    <w:lvl w:ilvl="6" w:tplc="4ECA1806">
      <w:start w:val="1"/>
      <w:numFmt w:val="bullet"/>
      <w:lvlText w:val="●"/>
      <w:lvlJc w:val="left"/>
      <w:pPr>
        <w:ind w:left="5040" w:hanging="360"/>
      </w:pPr>
    </w:lvl>
    <w:lvl w:ilvl="7" w:tplc="EB00FBE4">
      <w:start w:val="1"/>
      <w:numFmt w:val="bullet"/>
      <w:lvlText w:val="●"/>
      <w:lvlJc w:val="left"/>
      <w:pPr>
        <w:ind w:left="5760" w:hanging="360"/>
      </w:pPr>
    </w:lvl>
    <w:lvl w:ilvl="8" w:tplc="27EA871C">
      <w:start w:val="1"/>
      <w:numFmt w:val="bullet"/>
      <w:lvlText w:val="●"/>
      <w:lvlJc w:val="left"/>
      <w:pPr>
        <w:ind w:left="6480" w:hanging="360"/>
      </w:pPr>
    </w:lvl>
  </w:abstractNum>
  <w:num w:numId="1" w16cid:durableId="410005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4DC"/>
    <w:rsid w:val="0019749A"/>
    <w:rsid w:val="003654DC"/>
    <w:rsid w:val="00686729"/>
    <w:rsid w:val="00E6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B2BDC4"/>
  <w15:docId w15:val="{59693F94-F6B7-4569-80CE-2B7261D3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3151</Words>
  <Characters>17020</Characters>
  <Application>Microsoft Office Word</Application>
  <DocSecurity>0</DocSecurity>
  <Lines>141</Lines>
  <Paragraphs>40</Paragraphs>
  <ScaleCrop>false</ScaleCrop>
  <Company/>
  <LinksUpToDate>false</LinksUpToDate>
  <CharactersWithSpaces>20131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2</cp:revision>
  <dcterms:created xsi:type="dcterms:W3CDTF">2026-10-01T00:52:00Z</dcterms:created>
  <dcterms:modified xsi:type="dcterms:W3CDTF">2026-10-01T18:31:00Z</dcterms:modified>
</cp:coreProperties>
</file>