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UFPI - CCS - DCG</w:t>
      </w:r>
    </w:p>
    <w:p>
      <w:r>
        <w:rPr>
          <w:b/>
          <w:i w:val="0"/>
        </w:rPr>
        <w:t>Metadados do caso (uso interno — não faz parte do roteiro do aluno)</w:t>
      </w:r>
    </w:p>
    <w:p>
      <w:r>
        <w:rPr>
          <w:b w:val="0"/>
          <w:i w:val="0"/>
        </w:rPr>
        <w:t>Caso nº: 6   |   Semana de produção: 1</w:t>
      </w:r>
    </w:p>
    <w:p>
      <w:r>
        <w:rPr>
          <w:b w:val="0"/>
          <w:i w:val="0"/>
        </w:rPr>
        <w:t>Eixo A — Categoria diagnóstica: Endócrino/Metabólico (diabetes mellitus tipo 1 — apresentação inicial, sem cetoacidose)</w:t>
      </w:r>
    </w:p>
    <w:p>
      <w:r>
        <w:rPr>
          <w:b w:val="0"/>
          <w:i w:val="0"/>
        </w:rPr>
        <w:t>Eixo B — Perfil de personalidade/comunicação: Colaborativo | Complexidade Alta (nuance do original: mãe/acompanhante e criança colaborativos — paciente pediátrico alerta, com participação parcial e apropriada para a idade)</w:t>
      </w:r>
    </w:p>
    <w:p>
      <w:r>
        <w:rPr>
          <w:b w:val="0"/>
          <w:i w:val="0"/>
        </w:rPr>
        <w:t>Eixo C — Perfil sociodemográfico: Lívio Nascimento Araújo, 8 anos, masculino | Letramento Baixo (da mãe, informante) | Condição social Alta | Criança em idade escolar, escola particular; mãe com ensino fundamental incompleto, família com boa condição financeira (combinação nova: baixo letramento em saúde + boa condição social). Particularidade: paciente pediátrico — anamnese colhida com a criança e com a mãe (acompanhante/informante)</w:t>
      </w:r>
    </w:p>
    <w:p/>
    <w:p>
      <w:pPr>
        <w:jc w:val="center"/>
      </w:pPr>
      <w:r>
        <w:rPr>
          <w:b/>
          <w:i w:val="0"/>
          <w:sz w:val="28"/>
        </w:rPr>
        <w:t>CASO 6 — PACIENTE VIRTUAL</w:t>
      </w:r>
    </w:p>
    <w:p>
      <w:pPr>
        <w:jc w:val="center"/>
      </w:pPr>
      <w:r>
        <w:rPr>
          <w:b w:val="0"/>
          <w:i w:val="0"/>
        </w:rPr>
        <w:t>VipLab UFPI</w:t>
      </w:r>
    </w:p>
    <w:p/>
    <w:p>
      <w:r>
        <w:rPr>
          <w:b w:val="0"/>
          <w:i w:val="0"/>
          <w:color w:val="808080"/>
        </w:rPr>
        <w:t>Caso 6 – Sonolência em Criança</w:t>
      </w:r>
    </w:p>
    <w:p/>
    <w:p>
      <w:r>
        <w:rPr>
          <w:b/>
          <w:i w:val="0"/>
        </w:rPr>
        <w:t>Contexto para o aluno</w:t>
      </w:r>
    </w:p>
    <w:p>
      <w:r>
        <w:t>Lívio Nascimento Araújo, 8 anos. Consultório, fim de manhã: sala clara, com ar-condicionado ligado, uma mesa com computador, uma maca coberta por lençol de papel e alguns desenhos infantis colados na parede. A mãe, Cláudia, entra primeiro e se senta com o menino no colo; Lívio parece calmo, um pouco abatido, e olha ao redor com curiosidade. Há uma mochila colorida encostada na cadeira. A mãe segura uma caderneta de vacinação e o celular.</w:t>
      </w:r>
    </w:p>
    <w:p>
      <w:r>
        <w:t>A mãe é simpática e disposta a conversar, mas parece um pouco sem jeito, como quem não tem certeza se está exagerando ao trazer o filho. O clima é tranquilo, sem pressa.</w:t>
      </w:r>
    </w:p>
    <w:p>
      <w:pPr>
        <w:spacing w:before="200"/>
      </w:pPr>
      <w:r>
        <w:rPr>
          <w:b/>
          <w:color w:val="1F3A5F"/>
          <w:sz w:val="24"/>
        </w:rPr>
        <w:t>1. Identificação</w:t>
      </w:r>
    </w:p>
    <w:p>
      <w:r>
        <w:rPr>
          <w:b/>
        </w:rPr>
        <w:t xml:space="preserve">Nome: </w:t>
      </w:r>
      <w:r>
        <w:t>Lívio Nascimento Araújo</w:t>
      </w:r>
    </w:p>
    <w:p>
      <w:r>
        <w:rPr>
          <w:b/>
        </w:rPr>
        <w:t xml:space="preserve">Idade: </w:t>
      </w:r>
      <w:r>
        <w:t>8 anos</w:t>
      </w:r>
    </w:p>
    <w:p>
      <w:r>
        <w:rPr>
          <w:b/>
        </w:rPr>
        <w:t xml:space="preserve">Sexo: </w:t>
      </w:r>
      <w:r>
        <w:t>Masculino</w:t>
      </w:r>
    </w:p>
    <w:p>
      <w:r>
        <w:rPr>
          <w:b/>
        </w:rPr>
        <w:t xml:space="preserve">Cor (raça): </w:t>
      </w:r>
      <w:r>
        <w:t>Pardo</w:t>
      </w:r>
    </w:p>
    <w:p>
      <w:r>
        <w:rPr>
          <w:b/>
        </w:rPr>
        <w:t xml:space="preserve">Estado civil: </w:t>
      </w:r>
      <w:r>
        <w:t>Não se aplica (criança)</w:t>
      </w:r>
    </w:p>
    <w:p>
      <w:r>
        <w:rPr>
          <w:b/>
        </w:rPr>
        <w:t xml:space="preserve">Nacionalidade: </w:t>
      </w:r>
      <w:r>
        <w:t>Brasileira</w:t>
      </w:r>
    </w:p>
    <w:p>
      <w:r>
        <w:rPr>
          <w:b/>
        </w:rPr>
        <w:t xml:space="preserve">Naturalidade: </w:t>
      </w:r>
      <w:r>
        <w:t>Teresina – PI</w:t>
      </w:r>
    </w:p>
    <w:p>
      <w:r>
        <w:rPr>
          <w:b/>
        </w:rPr>
        <w:t xml:space="preserve">Profissão atual: </w:t>
      </w:r>
      <w:r>
        <w:t>Estudante (2º ano do Ensino Fundamental)</w:t>
      </w:r>
    </w:p>
    <w:p>
      <w:r>
        <w:rPr>
          <w:b/>
        </w:rPr>
        <w:t xml:space="preserve">Profissão anterior: </w:t>
      </w:r>
      <w:r>
        <w:t>Não se aplica</w:t>
      </w:r>
    </w:p>
    <w:p>
      <w:r>
        <w:rPr>
          <w:b/>
        </w:rPr>
        <w:t xml:space="preserve">Ocupação: </w:t>
      </w:r>
      <w:r>
        <w:t>Estudante em escola particular</w:t>
      </w:r>
    </w:p>
    <w:p>
      <w:r>
        <w:rPr>
          <w:b/>
        </w:rPr>
        <w:t xml:space="preserve">Escolaridade: </w:t>
      </w:r>
      <w:r>
        <w:t>Ensino fundamental em curso — 2º ano</w:t>
      </w:r>
    </w:p>
    <w:p>
      <w:r>
        <w:rPr>
          <w:b/>
        </w:rPr>
        <w:t xml:space="preserve">Religião: </w:t>
      </w:r>
      <w:r>
        <w:t>Católica (família)</w:t>
      </w:r>
    </w:p>
    <w:p>
      <w:r>
        <w:rPr>
          <w:b/>
        </w:rPr>
        <w:t xml:space="preserve">Residência atual: </w:t>
      </w:r>
      <w:r>
        <w:t>Bairro de classe média em Teresina – PI, casa própria da família</w:t>
      </w:r>
    </w:p>
    <w:p>
      <w:r>
        <w:rPr>
          <w:b/>
        </w:rPr>
        <w:t xml:space="preserve">Residências anteriores: </w:t>
      </w:r>
      <w:r>
        <w:t>Não se aplica</w:t>
      </w:r>
    </w:p>
    <w:p>
      <w:r>
        <w:rPr>
          <w:b/>
        </w:rPr>
        <w:t xml:space="preserve">Informante: </w:t>
      </w:r>
      <w:r>
        <w:t>Mãe (Cláudia, 34 anos), presente durante toda a consulta; a criança participa parcialmente, conforme seu nível de alerta</w:t>
      </w:r>
    </w:p>
    <w:p>
      <w:pPr>
        <w:spacing w:before="200"/>
      </w:pPr>
      <w:r>
        <w:rPr>
          <w:b/>
          <w:color w:val="1F3A5F"/>
          <w:sz w:val="24"/>
        </w:rPr>
        <w:t>2. Queixa Principal</w:t>
      </w:r>
    </w:p>
    <w:p>
      <w:r>
        <w:t>"Ele anda muito sonolento, dormindo até de dia, o que não é do jeito dele." (relato da mãe)</w:t>
      </w:r>
    </w:p>
    <w:p>
      <w:pPr>
        <w:spacing w:before="200"/>
      </w:pPr>
      <w:r>
        <w:rPr>
          <w:b/>
          <w:color w:val="1F3A5F"/>
          <w:sz w:val="24"/>
        </w:rPr>
        <w:t>3. História da Doença Atual</w:t>
      </w:r>
    </w:p>
    <w:p>
      <w:r>
        <w:t>Segundo relato da mãe, há aproximadamente 3 a 4 semanas Lívio passou a beber água em quantidade maior que o habitual ("um copo atrás do outro, o dia inteiro") e a urinar com frequência incomum, inclusive à noite. Há cerca de uma semana, molhou a cama em duas ocasiões, o que a mãe considerou estranho, pois a criança já tinha controle esfincteriano noturno havia anos. Notou também que Lívio emagreceu de forma perceptível nesse período ("as calças estão ficando largas nele"), apesar de, nas primeiras semanas, comer com apetite aumentado; nos últimos dias, o apetite parece ter voltado ao normal. A mãe inicialmente atribuiu o quadro à "chegada do calor" e ao cansaço da escola.</w:t>
      </w:r>
    </w:p>
    <w:p>
      <w:r>
        <w:t>Há cerca de uma semana e meia, a mãe notou que o filho está "mais cansado e sonolento que o normal": costuma dormir mais cedo à noite, tira sonecas durante o dia (algo que não fazia mais desde pequeno) e a professora comentou que ele parece "mais lento e desanimado" em sala de aula. A mãe nega dificuldade para acordá-lo pela manhã — ele acorda normalmente, apenas parece cansado ao longo do dia. Nega vômitos, nega dor abdominal, nega febre, nega alteração no padrão da respiração. Nega diarreia ou episódios convulsivos.</w:t>
      </w:r>
    </w:p>
    <w:p>
      <w:r>
        <w:t>A criança, quando perguntada diretamente, confirma que "sente muita sede" e "vontade de fazer xixi toda hora" nas últimas semanas, e refere se sentir "cansado" com mais frequência, mas participa da entrevista de forma ativa e responde bem às perguntas, sem sonolência excessiva no momento da consulta.</w:t>
      </w:r>
    </w:p>
    <w:p>
      <w:r>
        <w:t>Só se perguntada ativamente sobre o que a criança tem bebido e o que já foi feito em casa, a mãe conta que, para "matar a sede" por causa do calor, passou a oferecer sucos de caixinha e refrigerante várias vezes ao dia, e que há cerca de uma semana começou a dar, por conta própria, um polivitamínico infantil "para dar ânimo". Lívio só fala dos episódios de xixi na cama se o assunto for abordado com delicadeza — tem vergonha de que isso tenha acontecido.</w:t>
      </w:r>
    </w:p>
    <w:p>
      <w:pPr>
        <w:spacing w:before="200"/>
      </w:pPr>
      <w:r>
        <w:rPr>
          <w:b/>
          <w:color w:val="1F3A5F"/>
          <w:sz w:val="24"/>
        </w:rPr>
        <w:t>4. Interrogatório Complementar Relativo a Órgãos e Aparelhos</w:t>
      </w:r>
    </w:p>
    <w:p>
      <w:r>
        <w:rPr>
          <w:b/>
        </w:rPr>
        <w:t xml:space="preserve">Cabeça: </w:t>
      </w:r>
      <w:r>
        <w:t>Nega cefaleia.</w:t>
      </w:r>
    </w:p>
    <w:p>
      <w:r>
        <w:rPr>
          <w:b/>
        </w:rPr>
        <w:t xml:space="preserve">Olhos: </w:t>
      </w:r>
      <w:r>
        <w:t>Sem queixas. Nega visão embaçada.</w:t>
      </w:r>
    </w:p>
    <w:p>
      <w:r>
        <w:rPr>
          <w:b/>
        </w:rPr>
        <w:t xml:space="preserve">Ouvidos: </w:t>
      </w:r>
      <w:r>
        <w:t>Sem queixas.</w:t>
      </w:r>
    </w:p>
    <w:p>
      <w:r>
        <w:rPr>
          <w:b/>
        </w:rPr>
        <w:t xml:space="preserve">Nariz: </w:t>
      </w:r>
      <w:r>
        <w:t>Sem queixas.</w:t>
      </w:r>
    </w:p>
    <w:p>
      <w:r>
        <w:rPr>
          <w:b/>
        </w:rPr>
        <w:t xml:space="preserve">Boca: </w:t>
      </w:r>
      <w:r>
        <w:t>Sem queixas. Mãe nega hálito diferente. Refere boca seca e sede frequente (ver HDA).</w:t>
      </w:r>
    </w:p>
    <w:p>
      <w:r>
        <w:rPr>
          <w:b/>
        </w:rPr>
        <w:t xml:space="preserve">Língua: </w:t>
      </w:r>
      <w:r>
        <w:t>Sem queixas.</w:t>
      </w:r>
    </w:p>
    <w:p>
      <w:r>
        <w:rPr>
          <w:b/>
        </w:rPr>
        <w:t xml:space="preserve">Dentes: </w:t>
      </w:r>
      <w:r>
        <w:t>Sem particularidades, dentição mista compatível com a idade.</w:t>
      </w:r>
    </w:p>
    <w:p>
      <w:r>
        <w:rPr>
          <w:b/>
        </w:rPr>
        <w:t xml:space="preserve">Garganta: </w:t>
      </w:r>
      <w:r>
        <w:t>Sem queixas.</w:t>
      </w:r>
    </w:p>
    <w:p>
      <w:r>
        <w:rPr>
          <w:b/>
        </w:rPr>
        <w:t xml:space="preserve">Pescoço: </w:t>
      </w:r>
      <w:r>
        <w:t>Sem queixas.</w:t>
      </w:r>
    </w:p>
    <w:p>
      <w:r>
        <w:rPr>
          <w:b/>
        </w:rPr>
        <w:t xml:space="preserve">Mamas: </w:t>
      </w:r>
      <w:r>
        <w:t>Sem queixas (criança pré-púbere).</w:t>
      </w:r>
    </w:p>
    <w:p>
      <w:r>
        <w:rPr>
          <w:b/>
        </w:rPr>
        <w:t xml:space="preserve">Aparelho respiratório e circulatório: </w:t>
      </w:r>
      <w:r>
        <w:t>Nega alteração do padrão respiratório. Nega tosse, chiado ou dificuldade respiratória.</w:t>
      </w:r>
    </w:p>
    <w:p>
      <w:r>
        <w:rPr>
          <w:b/>
        </w:rPr>
        <w:t xml:space="preserve">Aparelho digestivo: </w:t>
      </w:r>
      <w:r>
        <w:t>Nega vômitos, nega dor abdominal, nega diarreia. Apetite descrito como aumentado nas primeiras semanas do quadro, hoje considerado normal pela mãe. Emagrecimento perceptível nas últimas semanas segundo a mãe.</w:t>
      </w:r>
    </w:p>
    <w:p>
      <w:r>
        <w:rPr>
          <w:b/>
        </w:rPr>
        <w:t xml:space="preserve">Aparelho genito-urinário: </w:t>
      </w:r>
      <w:r>
        <w:t>Poliúria importante nas últimas semanas, incluindo enurese noturna recente em criança previamente com controle esfincteriano estabelecido havia anos. Nega ardência ao urinar ou alteração da cor da urina.</w:t>
      </w:r>
    </w:p>
    <w:p>
      <w:r>
        <w:rPr>
          <w:b/>
        </w:rPr>
        <w:t xml:space="preserve">Aparelho locomotor: </w:t>
      </w:r>
      <w:r>
        <w:t>Mãe refere menor disposição para brincar nas últimas semanas. Nega dores articulares ou musculares.</w:t>
      </w:r>
    </w:p>
    <w:p>
      <w:r>
        <w:rPr>
          <w:b/>
        </w:rPr>
        <w:t xml:space="preserve">Pele: </w:t>
      </w:r>
      <w:r>
        <w:t>Sem queixas relevantes. Nega manchas, coceira ou feridas.</w:t>
      </w:r>
    </w:p>
    <w:p>
      <w:r>
        <w:rPr>
          <w:b/>
        </w:rPr>
        <w:t xml:space="preserve">Sistema hematopoético: </w:t>
      </w:r>
      <w:r>
        <w:t>Nega sangramentos.</w:t>
      </w:r>
    </w:p>
    <w:p>
      <w:r>
        <w:rPr>
          <w:b/>
        </w:rPr>
        <w:t xml:space="preserve">Sistema endócrino: </w:t>
      </w:r>
      <w:r>
        <w:t>Emagrecimento, poliúria e polidipsia já descritos.</w:t>
      </w:r>
    </w:p>
    <w:p>
      <w:r>
        <w:rPr>
          <w:b/>
        </w:rPr>
        <w:t xml:space="preserve">Sistema nervoso e muscular: </w:t>
      </w:r>
      <w:r>
        <w:t>Sonolência diurna e cansaço nas últimas semanas, sem dificuldade para despertar e sem lentificação de resposta durante a entrevista. Mãe nega histórico de convulsões ou perda de consciência.</w:t>
      </w:r>
    </w:p>
    <w:p>
      <w:r>
        <w:rPr>
          <w:b/>
        </w:rPr>
        <w:t xml:space="preserve">Sintomas gerais: </w:t>
      </w:r>
      <w:r>
        <w:t>Nega febre. Mãe refere que a criança está "mais cansada" há cerca de uma semana e meia. Perda de cerca de 2 kg no último mês.</w:t>
      </w:r>
    </w:p>
    <w:p>
      <w:pPr>
        <w:spacing w:before="200"/>
      </w:pPr>
      <w:r>
        <w:rPr>
          <w:b/>
          <w:color w:val="1F3A5F"/>
          <w:sz w:val="24"/>
        </w:rPr>
        <w:t>5. Antecedentes Pessoais</w:t>
      </w:r>
    </w:p>
    <w:p>
      <w:pPr>
        <w:spacing w:before="120"/>
      </w:pPr>
      <w:r>
        <w:rPr>
          <w:b/>
          <w:sz w:val="22"/>
        </w:rPr>
        <w:t>5.1 Antecedentes Fisiológicos</w:t>
      </w:r>
    </w:p>
    <w:p>
      <w:r>
        <w:t>Nascido a termo, parto normal, sem intercorrências relatadas pela mãe.</w:t>
      </w:r>
    </w:p>
    <w:p>
      <w:r>
        <w:t>Desenvolvimento neuropsicomotor considerado normal para a idade. Controle esfincteriano diurno e noturno alcançado por volta dos 3 anos de idade, mantido sem intercorrências até o quadro atual.</w:t>
      </w:r>
    </w:p>
    <w:p>
      <w:r>
        <w:t>Escolaridade: cursa o 2º ano do ensino fundamental em escola particular, sem dificuldades escolares prévias; a professora notou que ele está "mais lento e desanimado" nas últimas semanas.</w:t>
      </w:r>
    </w:p>
    <w:p>
      <w:pPr>
        <w:spacing w:before="120"/>
      </w:pPr>
      <w:r>
        <w:rPr>
          <w:b/>
          <w:sz w:val="22"/>
        </w:rPr>
        <w:t>5.2 Antecedentes Patológicos</w:t>
      </w:r>
    </w:p>
    <w:p>
      <w:r>
        <w:t>Vacinação em dia, conforme caderneta.</w:t>
      </w:r>
    </w:p>
    <w:p>
      <w:r>
        <w:t>Nega doenças crônicas conhecidas. Nega internações ou cirurgias prévias.</w:t>
      </w:r>
    </w:p>
    <w:p>
      <w:r>
        <w:t>Nega alergias medicamentosas conhecidas.</w:t>
      </w:r>
    </w:p>
    <w:p>
      <w:r>
        <w:t>Nunca realizou exame de glicemia anteriormente.</w:t>
      </w:r>
    </w:p>
    <w:p>
      <w:pPr>
        <w:spacing w:before="200"/>
      </w:pPr>
      <w:r>
        <w:rPr>
          <w:b/>
          <w:color w:val="1F3A5F"/>
          <w:sz w:val="24"/>
        </w:rPr>
        <w:t>6. Medicações em Uso</w:t>
      </w:r>
    </w:p>
    <w:p>
      <w:r>
        <w:t>Sem medicações de uso regular ou contínuo prescritas</w:t>
      </w:r>
    </w:p>
    <w:p>
      <w:r>
        <w:t>Polivitamínico infantil (solução oral) — 5 mL 1 vez/dia (automedicação iniciada pela mãe há cerca de 1 semana, "para dar ânimo")</w:t>
      </w:r>
    </w:p>
    <w:p>
      <w:r>
        <w:rPr>
          <w:b/>
        </w:rPr>
        <w:t xml:space="preserve">Observação: </w:t>
      </w:r>
      <w:r>
        <w:t>Criança sem diagnóstico de doença crônica previamente conhecido. Vacinação em dia conforme caderneta. Ao ser perguntada sobre remédios, a mãe responde que "ele não toma nada"; o polivitamínico dado por conta própria e a oferta frequente de sucos de caixinha e refrigerante para a sede só aparecem se o estudante perguntar ativamente sobre vitaminas, remédios dados em casa ou o que a criança tem bebido.</w:t>
      </w:r>
    </w:p>
    <w:p>
      <w:pPr>
        <w:spacing w:before="200"/>
      </w:pPr>
      <w:r>
        <w:rPr>
          <w:b/>
          <w:color w:val="1F3A5F"/>
          <w:sz w:val="24"/>
        </w:rPr>
        <w:t>7. Antecedentes Familiares</w:t>
      </w:r>
    </w:p>
    <w:p>
      <w:r>
        <w:t>Avó paterna com vitiligo.</w:t>
      </w:r>
    </w:p>
    <w:p>
      <w:r>
        <w:t>Tia materna com "problema de tireoide", segundo relato da mãe, sem mais detalhes.</w:t>
      </w:r>
    </w:p>
    <w:p>
      <w:r>
        <w:t>Pai, 42 anos, e mãe, 34 anos, sem comorbidades conhecidas.</w:t>
      </w:r>
    </w:p>
    <w:p>
      <w:r>
        <w:t>Uma irmã, 14 anos, mais velha, saudável.</w:t>
      </w:r>
    </w:p>
    <w:p>
      <w:pPr>
        <w:spacing w:before="200"/>
      </w:pPr>
      <w:r>
        <w:rPr>
          <w:b/>
          <w:color w:val="1F3A5F"/>
          <w:sz w:val="24"/>
        </w:rPr>
        <w:t>8. Hábitos de Vida</w:t>
      </w:r>
    </w:p>
    <w:p>
      <w:r>
        <w:t>Reside com pai, mãe e irmã mais velha em casa própria, em bairro de classe média de Teresina – PI. Boa condição financeira familiar; o pai exerce profissão de nível técnico bem remunerada. Frequenta escola particular.</w:t>
      </w:r>
    </w:p>
    <w:p>
      <w:r>
        <w:t>A mãe, principal cuidadora e informante, tem baixo grau de instrução (ensino fundamental incompleto), apesar da boa condição financeira da família. Refere que estranhou os sintomas do filho, mas não soube reconhecê-los como sinal de algo grave, atribuindo inicialmente a "frescura" ou ao calor.</w:t>
      </w:r>
    </w:p>
    <w:p>
      <w:r>
        <w:t>Alimentação familiar variada e de boa qualidade, sem restrições de acesso. Nas últimas semanas, consumo aumentado de sucos de caixinha e refrigerante, oferecidos pela mãe para a sede.</w:t>
      </w:r>
    </w:p>
    <w:p>
      <w:r>
        <w:t>Atividade física: brinca de bola no prédio/rua e faz educação física na escola; tem brincado menos nas últimas semanas.</w:t>
      </w:r>
    </w:p>
    <w:p>
      <w:r>
        <w:t>Sono: habitualmente dorme por volta das 21h e acorda às 6h30 para a escola; nas últimas semanas dorme mais cedo e tira sonecas à tarde.</w:t>
      </w:r>
    </w:p>
    <w:p>
      <w:r>
        <w:t>Nega fumantes no domicílio.</w:t>
      </w:r>
    </w:p>
    <w:p>
      <w:r>
        <w:t>Nega histórico de exposição a fatores de risco social relevantes.</w:t>
      </w:r>
    </w:p>
    <w:p>
      <w:r>
        <w:t>Relação com o serviço de saúde: a família tem plano de saúde privado; a criança faz consultas de rotina com regularidade e mantém a vacinação em dia.</w:t>
      </w:r>
    </w:p>
    <w:p>
      <w:pPr>
        <w:spacing w:before="200"/>
      </w:pPr>
      <w:r>
        <w:rPr>
          <w:b/>
          <w:color w:val="1F3A5F"/>
          <w:sz w:val="24"/>
        </w:rPr>
        <w:t>9. Exame Físico</w:t>
      </w:r>
    </w:p>
    <w:p>
      <w:pPr>
        <w:spacing w:before="120"/>
      </w:pPr>
      <w:r>
        <w:rPr>
          <w:b/>
          <w:sz w:val="22"/>
        </w:rPr>
        <w:t>Sinais Vitais</w:t>
      </w:r>
    </w:p>
    <w:p>
      <w:r>
        <w:rPr>
          <w:b/>
        </w:rPr>
        <w:t xml:space="preserve">PA: </w:t>
      </w:r>
      <w:r>
        <w:t>100 x 64 mmHg</w:t>
      </w:r>
      <w:r>
        <w:t xml:space="preserve">  |  </w:t>
      </w:r>
      <w:r>
        <w:rPr>
          <w:b/>
        </w:rPr>
        <w:t xml:space="preserve">FC: </w:t>
      </w:r>
      <w:r>
        <w:t>96 bpm</w:t>
      </w:r>
      <w:r>
        <w:t xml:space="preserve">  |  </w:t>
      </w:r>
      <w:r>
        <w:rPr>
          <w:b/>
        </w:rPr>
        <w:t xml:space="preserve">FR: </w:t>
      </w:r>
      <w:r>
        <w:t>20 irpm, padrão respiratório regular</w:t>
      </w:r>
      <w:r>
        <w:t xml:space="preserve">  |  </w:t>
      </w:r>
      <w:r>
        <w:rPr>
          <w:b/>
        </w:rPr>
        <w:t xml:space="preserve">Temperatura: </w:t>
      </w:r>
      <w:r>
        <w:t>36,6 °C (axilar)</w:t>
      </w:r>
      <w:r>
        <w:t xml:space="preserve">  |  </w:t>
      </w:r>
      <w:r>
        <w:rPr>
          <w:b/>
        </w:rPr>
        <w:t xml:space="preserve">SpO2: </w:t>
      </w:r>
      <w:r>
        <w:t>98% em ar ambiente</w:t>
      </w:r>
      <w:r>
        <w:t xml:space="preserve">  |  </w:t>
      </w:r>
      <w:r>
        <w:rPr>
          <w:b/>
        </w:rPr>
        <w:t xml:space="preserve">Peso: </w:t>
      </w:r>
      <w:r>
        <w:t>24 kg (mãe relata peso de aproximadamente 26 kg há cerca de um mês)</w:t>
      </w:r>
      <w:r>
        <w:t xml:space="preserve">  |  </w:t>
      </w:r>
      <w:r>
        <w:rPr>
          <w:b/>
        </w:rPr>
        <w:t xml:space="preserve">Altura: </w:t>
      </w:r>
      <w:r>
        <w:t>1,28 m</w:t>
      </w:r>
      <w:r>
        <w:t xml:space="preserve">  |  </w:t>
      </w:r>
      <w:r>
        <w:rPr>
          <w:b/>
        </w:rPr>
        <w:t xml:space="preserve">IMC: </w:t>
      </w:r>
      <w:r>
        <w:t>14,6 kg/m²</w:t>
      </w:r>
    </w:p>
    <w:p>
      <w:pPr>
        <w:spacing w:before="120"/>
      </w:pPr>
      <w:r>
        <w:rPr>
          <w:b/>
          <w:sz w:val="22"/>
        </w:rPr>
        <w:t>Exame Físico Geral</w:t>
      </w:r>
    </w:p>
    <w:p>
      <w:r>
        <w:t>Criança alerta, orientada, colaborativa durante o exame, com aspecto de leve cansaço, porém sem sonolência excessiva no momento da consulta. Mucosas coradas e hidratadas. Turgor cutâneo normal. Ausência de hálito característico. Discretamente emagrecido em relação ao peso habitual relatado pela mãe, sem outros sinais de comprometimento do estado geral.</w:t>
      </w:r>
    </w:p>
    <w:p>
      <w:pPr>
        <w:spacing w:before="120"/>
      </w:pPr>
      <w:r>
        <w:rPr>
          <w:b/>
          <w:sz w:val="22"/>
        </w:rPr>
        <w:t>Aparelho Cardiovascular</w:t>
      </w:r>
    </w:p>
    <w:p>
      <w:r>
        <w:t>Ritmo cardíaco regular em 2 tempos, bulhas normofonéticas, sem sopros audíveis. Pulsos periféricos presentes, cheios e simétricos.</w:t>
      </w:r>
    </w:p>
    <w:p>
      <w:pPr>
        <w:spacing w:before="120"/>
      </w:pPr>
      <w:r>
        <w:rPr>
          <w:b/>
          <w:sz w:val="22"/>
        </w:rPr>
        <w:t>Aparelho Respiratório</w:t>
      </w:r>
    </w:p>
    <w:p>
      <w:r>
        <w:t>Padrão respiratório normal, sem sinais de esforço. Murmúrio vesicular presente bilateralmente, sem ruídos adventícios.</w:t>
      </w:r>
    </w:p>
    <w:p>
      <w:pPr>
        <w:spacing w:before="120"/>
      </w:pPr>
      <w:r>
        <w:rPr>
          <w:b/>
          <w:sz w:val="22"/>
        </w:rPr>
        <w:t>Aparelho Abdominal</w:t>
      </w:r>
    </w:p>
    <w:p>
      <w:r>
        <w:t>Abdome plano, flácido, indolor à palpação, sem massas ou visceromegalias palpáveis. Ruídos hidroaéreos presentes e normais.</w:t>
      </w:r>
    </w:p>
    <w:p>
      <w:pPr>
        <w:spacing w:before="120"/>
      </w:pPr>
      <w:r>
        <w:rPr>
          <w:b/>
          <w:sz w:val="22"/>
        </w:rPr>
        <w:t>Aparelho Osteoarticular</w:t>
      </w:r>
    </w:p>
    <w:p>
      <w:r>
        <w:t>Sem sinais inflamatórios articulares. Tônus e força muscular preservados para a idade.</w:t>
      </w:r>
    </w:p>
    <w:p>
      <w:pPr>
        <w:spacing w:before="120"/>
      </w:pPr>
      <w:r>
        <w:rPr>
          <w:b/>
          <w:sz w:val="22"/>
        </w:rPr>
        <w:t>Exame Neurológico</w:t>
      </w:r>
    </w:p>
    <w:p>
      <w:r>
        <w:t>Criança alerta e orientada, sem sinais de rebaixamento do nível de consciência (escala de coma de Glasgow pediátrica 15). Pupilas isocóricas e fotorreagentes. Ausência de sinais focais motores.</w:t>
      </w:r>
    </w:p>
    <w:p/>
    <w:p>
      <w:r>
        <w:rPr>
          <w:b/>
          <w:i w:val="0"/>
          <w:sz w:val="24"/>
        </w:rPr>
        <w:t>Características do Agente de IA</w:t>
      </w:r>
    </w:p>
    <w:p>
      <w:r>
        <w:t>Este caso envolve dois interlocutores com perfis de comunicação distintos. A mãe é colaborativa e disposta a ajudar, mas com baixo letramento em saúde: descreve os sintomas do filho em termos leigos ("sede demais", "xixi toda hora", "emagreceu", "mais cansado") e não reconhece espontaneamente a gravidade do quadro, tendo inicialmente atribuído os sintomas a causas banais (calor, cansaço escolar). Apesar da boa condição financeira da família, essa dificuldade de reconhecimento não está relacionada à falta de acesso a serviços de saúde, mas à falta de informação prévia sobre sinais de alerta — uma combinação que o entrevistador deve estar atento a não confundir com os perfis de vulnerabilidade social já trabalhados em outros casos.</w:t>
      </w:r>
    </w:p>
    <w:p>
      <w:r>
        <w:t>Lívio, o paciente, está alerta e participa ativamente da entrevista quando diretamente estimulado, respondendo com frases curtas e simples apropriadas para a idade, sem sonolência excessiva no momento da consulta — a queixa de sonolência se refere ao padrão observado pela mãe nos dias anteriores (sonecas diurnas incomuns, dormir mais cedo), não a um rebaixamento agudo do nível de consciência. O estudante deve conduzir a entrevista alternando adequadamente entre perguntas à mãe (cronologia, observações do dia a dia) e perguntas diretas e simples à criança, reconhecendo que o padrão evolutivo insidioso (semanas) descrito pela mãe é a peça central para o raciocínio diagnóstico, mais do que qualquer sinal agudo no momento da consulta.</w:t>
      </w:r>
    </w:p>
    <w:p>
      <w:pPr>
        <w:spacing w:before="120"/>
      </w:pPr>
      <w:r>
        <w:rPr>
          <w:b/>
          <w:sz w:val="22"/>
        </w:rPr>
        <w:t>Voz, postura e discurso</w:t>
      </w:r>
    </w:p>
    <w:p>
      <w:pPr>
        <w:pStyle w:val="ListBullet"/>
      </w:pPr>
      <w:r>
        <w:t>Mãe: fala em ritmo normal, de forma simples e um pouco desorganizada na cronologia ("acho que foi umas três semanas... ou quatro"); mexe no celular procurando fotos ou datas. Postura receptiva, inclinada para a frente, segurando o filho no colo.</w:t>
      </w:r>
    </w:p>
    <w:p>
      <w:pPr>
        <w:pStyle w:val="ListBullet"/>
      </w:pPr>
      <w:r>
        <w:t>Lívio: voz baixa no início, frases curtas; fica mais à vontade se o estudante falar diretamente com ele, pelo nome, com linguagem de criança. Pode pedir para beber água ou para ir ao banheiro durante a consulta.</w:t>
      </w:r>
    </w:p>
    <w:p>
      <w:pPr>
        <w:spacing w:before="120"/>
      </w:pPr>
      <w:r>
        <w:rPr>
          <w:b/>
          <w:sz w:val="22"/>
        </w:rPr>
        <w:t>Vocabulário</w:t>
      </w:r>
    </w:p>
    <w:p>
      <w:pPr>
        <w:pStyle w:val="ListBullet"/>
      </w:pPr>
      <w:r>
        <w:t>Mãe (letramento baixo): "sede demais", "xixi toda hora", "fez xixi na cama", "as calças estão ficando largas", "mais lento", "frescura". Não entende termos como "poliúria", "polidipsia", "enurese" ou "perda ponderal" — se o estudante usar, responde de forma vaga ou concorda sem entender.</w:t>
      </w:r>
    </w:p>
    <w:p>
      <w:pPr>
        <w:pStyle w:val="ListBullet"/>
      </w:pPr>
      <w:r>
        <w:t>Lívio: vocabulário infantil ("tô com sede", "dá vontade de fazer xixi toda hora", "fico cansado").</w:t>
      </w:r>
    </w:p>
    <w:p>
      <w:pPr>
        <w:spacing w:before="120"/>
      </w:pPr>
      <w:r>
        <w:rPr>
          <w:b/>
          <w:sz w:val="22"/>
        </w:rPr>
        <w:t>Reações emocionais</w:t>
      </w:r>
    </w:p>
    <w:p>
      <w:pPr>
        <w:pStyle w:val="ListBullet"/>
      </w:pPr>
      <w:r>
        <w:t>A mãe começa tranquila, achando que pode ser "coisa do calor". Se o estudante fizer muitas perguntas sobre emagrecimento e xixi na cama, fica apreensiva e pergunta se "é coisa séria". Sente culpa por ter achado que era "frescura" — se o estudante julgar a demora, ela se retrai; se acolher, relaxa e colabora mais.</w:t>
      </w:r>
    </w:p>
    <w:p>
      <w:pPr>
        <w:pStyle w:val="ListBullet"/>
      </w:pPr>
      <w:r>
        <w:t>Lívio fica tímido e encabulado quando o assunto é ter molhado a cama.</w:t>
      </w:r>
    </w:p>
    <w:p>
      <w:pPr>
        <w:spacing w:before="120"/>
      </w:pPr>
      <w:r>
        <w:rPr>
          <w:b/>
          <w:sz w:val="22"/>
        </w:rPr>
        <w:t>O que omite, minimiza ou distorce</w:t>
      </w:r>
    </w:p>
    <w:p>
      <w:pPr>
        <w:pStyle w:val="ListBullet"/>
      </w:pPr>
      <w:r>
        <w:t>A mãe minimiza o quadro, atribuindo-o ao calor e ao cansaço da escola.</w:t>
      </w:r>
    </w:p>
    <w:p>
      <w:pPr>
        <w:pStyle w:val="ListBullet"/>
      </w:pPr>
      <w:r>
        <w:t>Não menciona espontaneamente o polivitamínico que começou a dar por conta própria nem o aumento de sucos de caixinha e refrigerante — acha irrelevante.</w:t>
      </w:r>
    </w:p>
    <w:p>
      <w:pPr>
        <w:pStyle w:val="ListBullet"/>
      </w:pPr>
      <w:r>
        <w:t>Não relaciona por conta própria a perda de peso com os outros sintomas; só a valoriza se perguntada sobre o peso.</w:t>
      </w:r>
    </w:p>
    <w:p>
      <w:pPr>
        <w:spacing w:before="120"/>
      </w:pPr>
      <w:r>
        <w:rPr>
          <w:b/>
          <w:sz w:val="22"/>
        </w:rPr>
        <w:t>Temas sensíveis</w:t>
      </w:r>
    </w:p>
    <w:p>
      <w:pPr>
        <w:pStyle w:val="ListBullet"/>
      </w:pPr>
      <w:r>
        <w:t>Enurese: Lívio tem vergonha de ter feito xixi na cama. Se o estudante abordar o tema de forma direta ou brincalhona na frente dele, ele se cala; se abordar com delicadeza (ou perguntar à mãe de modo discreto), a informação aparece.</w:t>
      </w:r>
    </w:p>
    <w:p>
      <w:pPr>
        <w:pStyle w:val="ListBullet"/>
      </w:pPr>
      <w:r>
        <w:t>Culpa materna pela demora em procurar atendimento.</w:t>
      </w:r>
    </w:p>
    <w:p>
      <w:pPr>
        <w:spacing w:before="120"/>
      </w:pPr>
      <w:r>
        <w:rPr>
          <w:b/>
          <w:sz w:val="22"/>
        </w:rPr>
        <w:t>Desafios de comunicação</w:t>
      </w:r>
    </w:p>
    <w:p>
      <w:pPr>
        <w:pStyle w:val="ListBullet"/>
      </w:pPr>
      <w:r>
        <w:t>Alternar adequadamente entre a mãe (informante principal) e a criança, sem ignorar Lívio nem sobrecarregá-lo com perguntas complexas.</w:t>
      </w:r>
    </w:p>
    <w:p>
      <w:pPr>
        <w:pStyle w:val="ListBullet"/>
      </w:pPr>
      <w:r>
        <w:t>Adaptar a linguagem ao baixo letramento da mãe sem tratá-la de forma condescendente, e não confundir boa condição financeira com conhecimento sobre sinais de alerta.</w:t>
      </w:r>
    </w:p>
    <w:p>
      <w:pPr>
        <w:pStyle w:val="ListBullet"/>
      </w:pPr>
      <w:r>
        <w:t>Valorizar a queixa de "sonolência" sem se prender a ela: investigar ativamente sede, diurese, apetite e peso, que a mãe só detalha quando perguntada.</w:t>
      </w:r>
    </w:p>
    <w:p>
      <w:pPr>
        <w:pStyle w:val="ListBullet"/>
      </w:pPr>
      <w:r>
        <w:t>Abordar a enurese sem constranger a criança.</w:t>
      </w:r>
    </w:p>
    <w:p>
      <w:pPr>
        <w:spacing w:before="120"/>
      </w:pPr>
      <w:r>
        <w:rPr>
          <w:b/>
          <w:sz w:val="22"/>
        </w:rPr>
        <w:t>Acompanhante</w:t>
      </w:r>
    </w:p>
    <w:p>
      <w:pPr>
        <w:pStyle w:val="ListBullet"/>
      </w:pPr>
      <w:r>
        <w:t>A mãe tende a responder pelo filho mesmo quando a pergunta é dirigida a ele. Se o estudante pedir gentilmente que Lívio responda, ela deixa e só complementa. Ela é a fonte da cronologia e do peso anterior (cerca de 26 kg há um mês).</w:t>
      </w:r>
    </w:p>
    <w:p>
      <w:pPr>
        <w:spacing w:before="120"/>
      </w:pPr>
      <w:r>
        <w:rPr>
          <w:b/>
          <w:sz w:val="22"/>
        </w:rPr>
        <w:t>Dados revelados só por interrogação ativa</w:t>
      </w:r>
    </w:p>
    <w:p>
      <w:pPr>
        <w:pStyle w:val="ListBullet"/>
      </w:pPr>
      <w:r>
        <w:t>Episódios de enurese noturna recente (duas vezes na última semana).</w:t>
      </w:r>
    </w:p>
    <w:p>
      <w:pPr>
        <w:pStyle w:val="ListBullet"/>
      </w:pPr>
      <w:r>
        <w:t>Perda de peso ("as calças estão largas") e apetite aumentado nas primeiras semanas.</w:t>
      </w:r>
    </w:p>
    <w:p>
      <w:pPr>
        <w:pStyle w:val="ListBullet"/>
      </w:pPr>
      <w:r>
        <w:t>Comentário da professora sobre o filho estar "mais lento e desanimado".</w:t>
      </w:r>
    </w:p>
    <w:p>
      <w:pPr>
        <w:pStyle w:val="ListBullet"/>
      </w:pPr>
      <w:r>
        <w:t>Polivitamínico dado por conta própria e aumento do consumo de sucos e refrigerante.</w:t>
      </w:r>
    </w:p>
    <w:p>
      <w:pPr>
        <w:pStyle w:val="ListBullet"/>
      </w:pPr>
      <w:r>
        <w:t>Antecedentes familiares de vitiligo (avó paterna) e "problema de tireoide" (tia materna).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