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57BE2">
      <w:pPr>
        <w:bidi w:val="0"/>
        <w:rPr>
          <w:rFonts w:hint="eastAsia"/>
        </w:rPr>
      </w:pPr>
      <w:bookmarkStart w:id="0" w:name="_Toc23126_WPSOffice_Level1"/>
      <w:bookmarkStart w:id="1" w:name="_Toc2029_WPSOffice_Level1"/>
    </w:p>
    <w:p w14:paraId="45AF3B7C">
      <w:pPr>
        <w:bidi w:val="0"/>
        <w:rPr>
          <w:rFonts w:hint="eastAsia"/>
        </w:rPr>
      </w:pPr>
    </w:p>
    <w:p w14:paraId="47726BC3">
      <w:pPr>
        <w:bidi w:val="0"/>
        <w:rPr>
          <w:rFonts w:hint="eastAsia"/>
        </w:rPr>
      </w:pPr>
    </w:p>
    <w:p w14:paraId="2BFB1A89">
      <w:pPr>
        <w:bidi w:val="0"/>
        <w:rPr>
          <w:rFonts w:hint="eastAsia"/>
        </w:rPr>
      </w:pPr>
    </w:p>
    <w:p w14:paraId="77452C9C">
      <w:pPr>
        <w:bidi w:val="0"/>
        <w:rPr>
          <w:rFonts w:hint="eastAsia"/>
        </w:rPr>
      </w:pPr>
    </w:p>
    <w:p w14:paraId="607BEC09">
      <w:pPr>
        <w:bidi w:val="0"/>
        <w:rPr>
          <w:rFonts w:hint="eastAsia"/>
        </w:rPr>
      </w:pPr>
    </w:p>
    <w:p w14:paraId="68BDFE38">
      <w:pPr>
        <w:bidi w:val="0"/>
        <w:rPr>
          <w:rFonts w:hint="eastAsia"/>
        </w:rPr>
      </w:pPr>
    </w:p>
    <w:p w14:paraId="1AFD5174">
      <w:pPr>
        <w:bidi w:val="0"/>
        <w:rPr>
          <w:rFonts w:hint="eastAsia"/>
        </w:rPr>
      </w:pPr>
    </w:p>
    <w:p w14:paraId="0C6E186E">
      <w:pPr>
        <w:bidi w:val="0"/>
        <w:rPr>
          <w:rFonts w:hint="eastAsia"/>
        </w:rPr>
      </w:pPr>
    </w:p>
    <w:p w14:paraId="740E204E">
      <w:pPr>
        <w:bidi w:val="0"/>
        <w:rPr>
          <w:rFonts w:hint="eastAsia"/>
        </w:rPr>
      </w:pPr>
    </w:p>
    <w:p w14:paraId="51584414">
      <w:pPr>
        <w:bidi w:val="0"/>
        <w:rPr>
          <w:rFonts w:hint="eastAsia"/>
        </w:rPr>
      </w:pPr>
    </w:p>
    <w:p w14:paraId="2F3AA8A1">
      <w:pPr>
        <w:bidi w:val="0"/>
        <w:rPr>
          <w:rFonts w:hint="eastAsia"/>
        </w:rPr>
      </w:pPr>
    </w:p>
    <w:p w14:paraId="6C90BA8E">
      <w:pPr>
        <w:bidi w:val="0"/>
        <w:rPr>
          <w:rFonts w:hint="eastAsia"/>
        </w:rPr>
      </w:pPr>
    </w:p>
    <w:p w14:paraId="7B57D7B9">
      <w:pPr>
        <w:jc w:val="center"/>
        <w:rPr>
          <w:rFonts w:hint="default" w:ascii="黑体" w:hAnsi="黑体" w:eastAsia="黑体" w:cs="黑体"/>
          <w:b/>
          <w:bCs/>
          <w:sz w:val="52"/>
          <w:szCs w:val="72"/>
          <w:lang w:val="en-US" w:eastAsia="zh-CN"/>
        </w:rPr>
      </w:pPr>
      <w:r>
        <w:rPr>
          <w:rFonts w:hint="eastAsia" w:ascii="黑体" w:hAnsi="黑体" w:eastAsia="黑体" w:cs="黑体"/>
          <w:b/>
          <w:bCs/>
          <w:sz w:val="52"/>
          <w:szCs w:val="72"/>
          <w:lang w:val="en-US" w:eastAsia="zh-CN"/>
        </w:rPr>
        <w:t xml:space="preserve">Citrix NetScaler ADC和NetScaler Gateway越界读取漏洞</w:t>
      </w:r>
    </w:p>
    <w:p w14:paraId="0E35B403">
      <w:pPr>
        <w:jc w:val="center"/>
        <w:rPr>
          <w:rFonts w:hint="default" w:ascii="黑体" w:hAnsi="黑体" w:eastAsia="黑体" w:cs="黑体"/>
          <w:b/>
          <w:bCs/>
          <w:sz w:val="52"/>
          <w:szCs w:val="72"/>
          <w:lang w:val="en-US" w:eastAsia="zh-CN"/>
        </w:rPr>
      </w:pPr>
      <w:r>
        <w:rPr>
          <w:rFonts w:hint="eastAsia" w:ascii="黑体" w:hAnsi="黑体" w:eastAsia="黑体" w:cs="黑体"/>
          <w:b/>
          <w:bCs/>
          <w:sz w:val="52"/>
          <w:szCs w:val="72"/>
          <w:lang w:val="en-US" w:eastAsia="zh-CN"/>
        </w:rPr>
        <w:t xml:space="preserve">CVE-2026-3055</w:t>
      </w:r>
    </w:p>
    <w:p w14:paraId="28F74ACF">
      <w:pPr>
        <w:jc w:val="center"/>
        <w:rPr>
          <w:rFonts w:hint="eastAsia" w:ascii="黑体" w:hAnsi="黑体" w:eastAsia="黑体" w:cs="黑体"/>
          <w:b/>
          <w:bCs/>
          <w:sz w:val="52"/>
          <w:szCs w:val="72"/>
          <w:lang w:val="en-US" w:eastAsia="zh-CN"/>
        </w:rPr>
      </w:pPr>
    </w:p>
    <w:p w14:paraId="643CB773">
      <w:pPr>
        <w:jc w:val="center"/>
        <w:rPr>
          <w:rFonts w:hint="default" w:ascii="黑体" w:hAnsi="黑体" w:eastAsia="黑体" w:cs="黑体"/>
          <w:b/>
          <w:bCs/>
          <w:sz w:val="52"/>
          <w:szCs w:val="72"/>
          <w:lang w:val="en-US" w:eastAsia="zh-CN"/>
        </w:rPr>
      </w:pPr>
    </w:p>
    <w:p w14:paraId="09D4DCA8">
      <w:pPr>
        <w:jc w:val="center"/>
        <w:rPr>
          <w:rFonts w:hint="default" w:ascii="黑体" w:hAnsi="黑体" w:eastAsia="黑体" w:cs="黑体"/>
          <w:b/>
          <w:bCs/>
          <w:sz w:val="52"/>
          <w:szCs w:val="72"/>
          <w:lang w:val="en-US" w:eastAsia="zh-CN"/>
        </w:rPr>
      </w:pPr>
    </w:p>
    <w:p w14:paraId="367A2360">
      <w:pPr>
        <w:jc w:val="center"/>
        <w:rPr>
          <w:rFonts w:ascii="宋体" w:hAnsi="宋体"/>
          <w:b/>
          <w:bCs/>
          <w:sz w:val="48"/>
          <w:szCs w:val="56"/>
        </w:rPr>
      </w:pPr>
    </w:p>
    <w:p w14:paraId="123612EA">
      <w:pPr>
        <w:jc w:val="center"/>
        <w:rPr>
          <w:rFonts w:hint="default" w:eastAsia="仿宋"/>
          <w:b/>
          <w:bCs/>
          <w:sz w:val="32"/>
          <w:szCs w:val="40"/>
          <w:lang w:val="en-US" w:eastAsia="zh-CN"/>
        </w:rPr>
        <w:sectPr>
          <w:headerReference r:id="rId3" w:type="default"/>
          <w:pgSz w:w="11906" w:h="16838"/>
          <w:pgMar w:top="1440" w:right="1800" w:bottom="1440" w:left="1800" w:header="851" w:footer="992" w:gutter="0"/>
          <w:pgNumType w:start="1"/>
          <w:cols w:space="720" w:num="1"/>
          <w:docGrid w:type="lines" w:linePitch="312" w:charSpace="0"/>
        </w:sectPr>
      </w:pPr>
      <w:r>
        <w:rPr>
          <w:rFonts w:hint="eastAsia" w:eastAsia="仿宋"/>
          <w:b/>
          <w:bCs/>
          <w:sz w:val="32"/>
          <w:szCs w:val="40"/>
          <w:lang w:val="en-US" w:eastAsia="zh-CN"/>
        </w:rPr>
        <w:t xml:space="preserve">2026年3月30日</w:t>
      </w:r>
    </w:p>
    <w:p w14:paraId="534312B4">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一、</w:t>
      </w:r>
      <w:r>
        <w:rPr>
          <w:rFonts w:hint="eastAsia" w:ascii="黑体" w:hAnsi="黑体" w:eastAsia="黑体" w:cs="宋体"/>
          <w:sz w:val="32"/>
          <w:szCs w:val="32"/>
        </w:rPr>
        <w:t>漏洞概要</w:t>
      </w:r>
      <w:bookmarkEnd w:id="0"/>
      <w:bookmarkEnd w:id="1"/>
    </w:p>
    <w:tbl>
      <w:tblPr>
        <w:tblStyle w:val="11"/>
        <w:tblpPr w:leftFromText="180" w:rightFromText="180" w:vertAnchor="text" w:tblpX="92" w:tblpY="460"/>
        <w:tblW w:w="8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7"/>
        <w:gridCol w:w="6308"/>
      </w:tblGrid>
      <w:tr w14:paraId="6788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957" w:type="dxa"/>
            <w:vAlign w:val="center"/>
          </w:tcPr>
          <w:p w14:paraId="6A43151C">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漏洞名称</w:t>
            </w:r>
          </w:p>
        </w:tc>
        <w:tc>
          <w:tcPr>
            <w:tcW w:w="6308" w:type="dxa"/>
            <w:vAlign w:val="center"/>
          </w:tcPr>
          <w:p w14:paraId="7819C9F3">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sz w:val="28"/>
                <w:szCs w:val="28"/>
                <w:lang w:val="en-US" w:eastAsia="zh-CN"/>
              </w:rPr>
            </w:pPr>
            <w:r>
              <w:rPr>
                <w:rFonts w:hint="eastAsia" w:ascii="Times New Roman" w:hAnsi="Times New Roman" w:eastAsia="仿宋_GB2312"/>
                <w:b/>
                <w:bCs/>
                <w:color w:val="000000"/>
                <w:sz w:val="28"/>
                <w:szCs w:val="28"/>
                <w:shd w:val="clear" w:color="auto" w:fill="FFFFFF"/>
                <w:lang w:val="en-US" w:eastAsia="zh-CN"/>
              </w:rPr>
              <w:t xml:space="preserve">Citrix NetScaler ADC和NetScaler Gateway越界读取漏洞(CVE-2026-3055)</w:t>
            </w:r>
          </w:p>
        </w:tc>
      </w:tr>
      <w:tr w14:paraId="4C30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957" w:type="dxa"/>
            <w:vAlign w:val="center"/>
          </w:tcPr>
          <w:p w14:paraId="18556814">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发布时间</w:t>
            </w:r>
          </w:p>
        </w:tc>
        <w:tc>
          <w:tcPr>
            <w:tcW w:w="6308" w:type="dxa"/>
            <w:vAlign w:val="center"/>
          </w:tcPr>
          <w:p w14:paraId="46BE2715">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sz w:val="28"/>
                <w:szCs w:val="28"/>
                <w:lang w:val="en-US"/>
              </w:rPr>
            </w:pPr>
            <w:r>
              <w:rPr>
                <w:rFonts w:hint="eastAsia" w:ascii="Times New Roman" w:hAnsi="Times New Roman" w:eastAsia="仿宋_GB2312"/>
                <w:b/>
                <w:bCs/>
                <w:color w:val="000000"/>
                <w:sz w:val="28"/>
                <w:szCs w:val="28"/>
                <w:shd w:val="clear" w:color="auto" w:fill="FFFFFF"/>
                <w:lang w:val="en-US" w:eastAsia="zh-CN"/>
              </w:rPr>
              <w:t xml:space="preserve">2026年3月30日</w:t>
            </w:r>
          </w:p>
        </w:tc>
      </w:tr>
      <w:tr w14:paraId="080C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957" w:type="dxa"/>
            <w:vAlign w:val="center"/>
          </w:tcPr>
          <w:p w14:paraId="0F9E95EA">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组件名称</w:t>
            </w:r>
          </w:p>
        </w:tc>
        <w:tc>
          <w:tcPr>
            <w:tcW w:w="6308" w:type="dxa"/>
            <w:vAlign w:val="center"/>
          </w:tcPr>
          <w:p w14:paraId="64089FD1">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Citrix NetScaler Gateway</w:t>
            </w:r>
          </w:p>
        </w:tc>
      </w:tr>
      <w:tr w14:paraId="46ED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02B89E88">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影响范围</w:t>
            </w:r>
          </w:p>
        </w:tc>
        <w:tc>
          <w:tcPr>
            <w:tcW w:w="6308" w:type="dxa"/>
            <w:vAlign w:val="center"/>
          </w:tcPr>
          <w:p w14:paraId="2EB697B2">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NetScaler Gateway/ADC 14.1 &lt; 14.1-60.58</w:t>
              <w:br/>
              <w:t xml:space="preserve"> NetScaler Gateway/ADC 13.1 &lt; 13.1-62.23</w:t>
              <w:br/>
              <w:t xml:space="preserve"> NetScaler ADC FIPS/NDcPP 13.1 &lt; 13.1-37.262</w:t>
            </w:r>
          </w:p>
        </w:tc>
      </w:tr>
      <w:tr w14:paraId="62FC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2BA87909">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漏洞类型</w:t>
            </w:r>
          </w:p>
        </w:tc>
        <w:tc>
          <w:tcPr>
            <w:tcW w:w="6308" w:type="dxa"/>
            <w:vAlign w:val="center"/>
          </w:tcPr>
          <w:p w14:paraId="39F472D9">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越界读取</w:t>
            </w:r>
          </w:p>
        </w:tc>
      </w:tr>
      <w:tr w14:paraId="3ED6E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1A295C59">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利用条件</w:t>
            </w:r>
          </w:p>
        </w:tc>
        <w:tc>
          <w:tcPr>
            <w:tcW w:w="6308" w:type="dxa"/>
            <w:vAlign w:val="center"/>
          </w:tcPr>
          <w:p w14:paraId="3BEC24E7">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1、用户认证：</w:t>
            </w:r>
            <w:r>
              <w:rPr>
                <w:rFonts w:hint="eastAsia" w:ascii="Times New Roman" w:hAnsi="Times New Roman" w:eastAsia="仿宋_GB2312"/>
                <w:b/>
                <w:bCs/>
                <w:color w:val="000000"/>
                <w:sz w:val="28"/>
                <w:szCs w:val="28"/>
                <w:shd w:val="clear" w:color="auto" w:fill="FFFFFF"/>
                <w:lang w:val="en-US" w:eastAsia="zh-CN"/>
              </w:rPr>
              <w:t xml:space="preserve">无需用户认证</w:t>
            </w:r>
          </w:p>
          <w:p w14:paraId="7A9D20AD">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2、前置条件：</w:t>
            </w:r>
            <w:r>
              <w:rPr>
                <w:rFonts w:hint="eastAsia" w:ascii="Times New Roman" w:hAnsi="Times New Roman" w:eastAsia="仿宋_GB2312"/>
                <w:b/>
                <w:bCs/>
                <w:color w:val="000000"/>
                <w:sz w:val="28"/>
                <w:szCs w:val="28"/>
                <w:shd w:val="clear" w:color="auto" w:fill="FFFFFF"/>
                <w:lang w:val="en-US" w:eastAsia="zh-CN"/>
              </w:rPr>
              <w:t xml:space="preserve">默认配置</w:t>
            </w:r>
          </w:p>
          <w:p w14:paraId="77D21DAE">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3、触发方式：</w:t>
            </w:r>
            <w:r>
              <w:rPr>
                <w:rFonts w:hint="eastAsia" w:ascii="Times New Roman" w:hAnsi="Times New Roman" w:eastAsia="仿宋_GB2312"/>
                <w:b/>
                <w:bCs/>
                <w:color w:val="000000"/>
                <w:sz w:val="28"/>
                <w:szCs w:val="28"/>
                <w:shd w:val="clear" w:color="auto" w:fill="FFFFFF"/>
                <w:lang w:val="en-US" w:eastAsia="zh-CN"/>
              </w:rPr>
              <w:t xml:space="preserve">远程</w:t>
            </w:r>
          </w:p>
        </w:tc>
      </w:tr>
      <w:tr w14:paraId="20ED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49BCD26A">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综合评价</w:t>
            </w:r>
          </w:p>
        </w:tc>
        <w:tc>
          <w:tcPr>
            <w:tcW w:w="6308" w:type="dxa"/>
            <w:vAlign w:val="center"/>
          </w:tcPr>
          <w:p w14:paraId="09B4E890">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eastAsia" w:ascii="Times New Roman" w:hAnsi="Times New Roman" w:eastAsia="仿宋_GB2312"/>
                <w:b/>
                <w:bCs/>
                <w:color w:val="333333"/>
                <w:sz w:val="28"/>
                <w:szCs w:val="28"/>
                <w:lang w:val="en-US" w:eastAsia="zh-CN"/>
              </w:rPr>
            </w:pPr>
            <w:r>
              <w:rPr>
                <w:rFonts w:ascii="Times New Roman" w:hAnsi="Times New Roman" w:eastAsia="仿宋_GB2312"/>
                <w:b/>
                <w:bCs/>
                <w:color w:val="000000"/>
                <w:sz w:val="28"/>
                <w:szCs w:val="28"/>
                <w:shd w:val="clear" w:color="auto" w:fill="FFFFFF"/>
              </w:rPr>
              <w:t>&lt;综合评定利用难度&gt;：</w:t>
            </w:r>
            <w:r>
              <w:rPr>
                <w:rFonts w:hint="eastAsia" w:ascii="Times New Roman" w:hAnsi="Times New Roman" w:eastAsia="仿宋_GB2312"/>
                <w:b/>
                <w:bCs/>
                <w:color w:val="000000"/>
                <w:sz w:val="28"/>
                <w:szCs w:val="28"/>
                <w:shd w:val="clear" w:color="auto" w:fill="FFFFFF"/>
                <w:lang w:val="en-US" w:eastAsia="zh-CN"/>
              </w:rPr>
              <w:t xml:space="preserve">容易，无需授权即可获取敏感信息。</w:t>
            </w:r>
          </w:p>
          <w:p w14:paraId="38D7B84A">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&lt;综合评定威胁等级&gt;：</w:t>
            </w:r>
            <w:r>
              <w:rPr>
                <w:rFonts w:hint="eastAsia" w:ascii="Times New Roman" w:hAnsi="Times New Roman" w:eastAsia="仿宋_GB2312"/>
                <w:b/>
                <w:bCs/>
                <w:color w:val="000000"/>
                <w:sz w:val="28"/>
                <w:szCs w:val="28"/>
                <w:shd w:val="clear" w:color="auto" w:fill="FFFFFF"/>
                <w:lang w:val="en-US" w:eastAsia="zh-CN"/>
              </w:rPr>
              <w:t xml:space="preserve">高危，可获取内存敏感信息。</w:t>
            </w:r>
          </w:p>
        </w:tc>
      </w:tr>
      <w:tr w14:paraId="71CD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63AEA113">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cs="Times New Roman"/>
                <w:b/>
                <w:bCs/>
                <w:color w:val="000000"/>
                <w:kern w:val="2"/>
                <w:sz w:val="28"/>
                <w:szCs w:val="28"/>
                <w:shd w:val="clear" w:color="auto" w:fill="FFFFFF"/>
                <w:lang w:val="en-US" w:eastAsia="zh-CN" w:bidi="ar-SA"/>
              </w:rPr>
            </w:pPr>
            <w:r>
              <w:rPr>
                <w:rFonts w:ascii="Times New Roman" w:hAnsi="Times New Roman" w:eastAsia="仿宋_GB2312"/>
                <w:b/>
                <w:bCs/>
                <w:color w:val="000000"/>
                <w:sz w:val="28"/>
                <w:szCs w:val="28"/>
                <w:shd w:val="clear" w:color="auto" w:fill="FFFFFF"/>
              </w:rPr>
              <w:t>官方解决方案</w:t>
            </w:r>
          </w:p>
        </w:tc>
        <w:tc>
          <w:tcPr>
            <w:tcW w:w="6308" w:type="dxa"/>
            <w:vAlign w:val="center"/>
          </w:tcPr>
          <w:p w14:paraId="7D0A8D99">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eastAsia" w:ascii="Times New Roman" w:hAnsi="Times New Roman" w:eastAsia="仿宋_GB2312" w:cs="Times New Roman"/>
                <w:b/>
                <w:bCs/>
                <w:color w:val="000000"/>
                <w:kern w:val="0"/>
                <w:sz w:val="28"/>
                <w:szCs w:val="28"/>
                <w:shd w:val="clear" w:color="auto" w:fill="FFFFFF"/>
                <w:lang w:val="en-US" w:eastAsia="zh-CN" w:bidi="ar-SA"/>
              </w:rPr>
            </w:pPr>
            <w:r>
              <w:rPr>
                <w:rFonts w:hint="eastAsia" w:ascii="Times New Roman" w:hAnsi="Times New Roman" w:eastAsia="仿宋_GB2312"/>
                <w:b/>
                <w:bCs/>
                <w:color w:val="000000"/>
                <w:sz w:val="28"/>
                <w:szCs w:val="28"/>
                <w:shd w:val="clear" w:color="auto" w:fill="FFFFFF"/>
                <w:lang w:val="en-US" w:eastAsia="zh-CN"/>
              </w:rPr>
              <w:t>已发布</w:t>
            </w:r>
          </w:p>
        </w:tc>
      </w:tr>
    </w:tbl>
    <w:p w14:paraId="3DF2D2CC">
      <w:pPr>
        <w:rPr>
          <w:rFonts w:ascii="宋体" w:hAnsi="宋体" w:cs="宋体"/>
          <w:i/>
          <w:iCs/>
          <w:color w:val="595959"/>
        </w:rPr>
      </w:pPr>
    </w:p>
    <w:p w14:paraId="11BE7AC7">
      <w:pPr>
        <w:rPr>
          <w:rFonts w:hint="eastAsia" w:ascii="黑体" w:hAnsi="黑体" w:eastAsia="黑体" w:cs="宋体"/>
          <w:sz w:val="32"/>
          <w:szCs w:val="32"/>
          <w:lang w:eastAsia="zh-CN"/>
        </w:rPr>
      </w:pPr>
      <w:bookmarkStart w:id="2" w:name="_Toc30423_WPSOffice_Level1"/>
      <w:bookmarkStart w:id="3" w:name="_Toc1706_WPSOffice_Level1"/>
      <w:bookmarkStart w:id="4" w:name="_Toc7248_WPSOffice_Level1"/>
      <w:r>
        <w:rPr>
          <w:rFonts w:hint="eastAsia" w:ascii="黑体" w:hAnsi="黑体" w:eastAsia="黑体" w:cs="宋体"/>
          <w:sz w:val="32"/>
          <w:szCs w:val="32"/>
          <w:lang w:eastAsia="zh-CN"/>
        </w:rPr>
        <w:br w:type="page"/>
      </w:r>
    </w:p>
    <w:p w14:paraId="31F3B299">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二、</w:t>
      </w:r>
      <w:r>
        <w:rPr>
          <w:rFonts w:hint="eastAsia" w:ascii="黑体" w:hAnsi="黑体" w:eastAsia="黑体" w:cs="宋体"/>
          <w:sz w:val="32"/>
          <w:szCs w:val="32"/>
        </w:rPr>
        <w:t>漏洞分析</w:t>
      </w:r>
      <w:bookmarkEnd w:id="2"/>
      <w:bookmarkEnd w:id="3"/>
      <w:bookmarkEnd w:id="4"/>
    </w:p>
    <w:p w14:paraId="50720754">
      <w:pPr>
        <w:pStyle w:val="3"/>
        <w:spacing w:before="0" w:after="0" w:line="360" w:lineRule="auto"/>
        <w:rPr>
          <w:rFonts w:ascii="Times New Roman" w:hAnsi="Times New Roman" w:eastAsia="KaiTi_GB2312"/>
          <w:szCs w:val="32"/>
        </w:rPr>
      </w:pPr>
      <w:bookmarkStart w:id="5" w:name="_Toc30423_WPSOffice_Level2"/>
      <w:bookmarkStart w:id="6" w:name="_Toc13276_WPSOffice_Level2"/>
      <w:r>
        <w:rPr>
          <w:rFonts w:hint="eastAsia" w:ascii="Times New Roman" w:hAnsi="Times New Roman" w:eastAsia="KaiTi_GB2312"/>
          <w:szCs w:val="32"/>
        </w:rPr>
        <w:t>2.1 组件介绍</w:t>
      </w:r>
      <w:bookmarkEnd w:id="5"/>
      <w:bookmarkEnd w:id="6"/>
    </w:p>
    <w:p w14:paraId="0E3A6FF1">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hint="default" w:ascii="宋体" w:hAnsi="宋体" w:eastAsia="宋体" w:cs="宋体"/>
          <w:lang w:val="en-US" w:eastAsia="zh-CN"/>
        </w:rPr>
      </w:pPr>
      <w:r>
        <w:rPr>
          <w:rFonts w:hint="eastAsia" w:ascii="Times New Roman" w:hAnsi="Times New Roman" w:eastAsia="仿宋_GB2312"/>
          <w:kern w:val="2"/>
          <w:sz w:val="28"/>
          <w:szCs w:val="28"/>
          <w:lang w:val="en-US" w:eastAsia="zh-CN"/>
        </w:rPr>
        <w:t xml:space="preserve">Citrix NetScaler Gateway（前称Citrix Access Gateway Enterprise Edition）是美国思杰系统（Citrix Systems）公司的一套安全的远程接入解决方案。该方案可为管理员提供应用级和数据级管控功能，以实现用户从任何地点远程访问应用和数据。</w:t>
      </w:r>
    </w:p>
    <w:p w14:paraId="74CD9342">
      <w:pPr>
        <w:pStyle w:val="3"/>
        <w:spacing w:before="0" w:after="0" w:line="360" w:lineRule="auto"/>
        <w:rPr>
          <w:rFonts w:ascii="Times New Roman" w:hAnsi="Times New Roman" w:eastAsia="KaiTi_GB2312"/>
          <w:szCs w:val="32"/>
        </w:rPr>
      </w:pPr>
      <w:bookmarkStart w:id="7" w:name="_Toc29047_WPSOffice_Level2"/>
      <w:bookmarkStart w:id="8" w:name="_Toc22106_WPSOffice_Level2"/>
      <w:r>
        <w:rPr>
          <w:rFonts w:ascii="Times New Roman" w:hAnsi="Times New Roman" w:eastAsia="KaiTi_GB2312"/>
          <w:szCs w:val="32"/>
        </w:rPr>
        <w:t>2.2 漏洞描述</w:t>
      </w:r>
      <w:bookmarkEnd w:id="7"/>
      <w:bookmarkEnd w:id="8"/>
    </w:p>
    <w:p w14:paraId="3D1626E1">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ascii="Times New Roman" w:hAnsi="Times New Roman" w:eastAsia="仿宋_GB2312"/>
          <w:kern w:val="2"/>
          <w:sz w:val="28"/>
          <w:szCs w:val="28"/>
        </w:rPr>
      </w:pPr>
      <w:r>
        <w:rPr>
          <w:rFonts w:hint="eastAsia" w:ascii="Times New Roman" w:hAnsi="Times New Roman" w:eastAsia="仿宋_GB2312"/>
          <w:kern w:val="2"/>
          <w:sz w:val="28"/>
          <w:szCs w:val="28"/>
          <w:lang w:val="en-US" w:eastAsia="zh-CN"/>
        </w:rPr>
        <w:t xml:space="preserve">2026年3月30日</w:t>
      </w:r>
      <w:r>
        <w:rPr>
          <w:rFonts w:ascii="Times New Roman" w:hAnsi="Times New Roman" w:eastAsia="仿宋_GB2312"/>
          <w:kern w:val="2"/>
          <w:sz w:val="28"/>
          <w:szCs w:val="28"/>
        </w:rPr>
        <w:t>，</w:t>
      </w:r>
      <w:r>
        <w:rPr>
          <w:rFonts w:hint="eastAsia" w:ascii="Times New Roman" w:hAnsi="Times New Roman" w:eastAsia="仿宋_GB2312"/>
          <w:kern w:val="2"/>
          <w:sz w:val="28"/>
          <w:szCs w:val="28"/>
          <w:lang w:val="en-US" w:eastAsia="zh-CN"/>
        </w:rPr>
        <w:t xml:space="preserve">Citrix NetScaler Gateway</w:t>
      </w:r>
      <w:r>
        <w:rPr>
          <w:rFonts w:ascii="Times New Roman" w:hAnsi="Times New Roman" w:eastAsia="仿宋_GB2312"/>
          <w:kern w:val="2"/>
          <w:sz w:val="28"/>
          <w:szCs w:val="28"/>
        </w:rPr>
        <w:t>组件</w:t>
      </w:r>
      <w:r>
        <w:rPr>
          <w:rFonts w:hint="eastAsia" w:ascii="Times New Roman" w:hAnsi="Times New Roman" w:eastAsia="仿宋_GB2312"/>
          <w:kern w:val="2"/>
          <w:sz w:val="28"/>
          <w:szCs w:val="28"/>
          <w:lang w:val="en-US" w:eastAsia="zh-CN"/>
        </w:rPr>
        <w:t xml:space="preserve">披露越界读取</w:t>
      </w:r>
      <w:r>
        <w:rPr>
          <w:rFonts w:ascii="Times New Roman" w:hAnsi="Times New Roman" w:eastAsia="仿宋_GB2312"/>
          <w:kern w:val="2"/>
          <w:sz w:val="28"/>
          <w:szCs w:val="28"/>
        </w:rPr>
        <w:t>漏洞，</w:t>
      </w:r>
      <w:r>
        <w:rPr>
          <w:rFonts w:hint="eastAsia" w:ascii="Times New Roman" w:hAnsi="Times New Roman" w:eastAsia="仿宋_GB2312"/>
          <w:kern w:val="2"/>
          <w:sz w:val="28"/>
          <w:szCs w:val="28"/>
          <w:lang w:val="en-US" w:eastAsia="zh-CN"/>
        </w:rPr>
        <w:t xml:space="preserve">漏洞编号：CVE-2026-3055，</w:t>
      </w:r>
      <w:r>
        <w:rPr>
          <w:rFonts w:ascii="Times New Roman" w:hAnsi="Times New Roman" w:eastAsia="仿宋_GB2312"/>
          <w:kern w:val="2"/>
          <w:sz w:val="28"/>
          <w:szCs w:val="28"/>
        </w:rPr>
        <w:t>漏洞威胁等级：</w:t>
      </w:r>
      <w:r>
        <w:rPr>
          <w:rFonts w:hint="eastAsia" w:ascii="Times New Roman" w:hAnsi="Times New Roman" w:eastAsia="仿宋_GB2312"/>
          <w:kern w:val="2"/>
          <w:sz w:val="28"/>
          <w:szCs w:val="28"/>
          <w:lang w:val="en-US" w:eastAsia="zh-CN"/>
        </w:rPr>
        <w:t xml:space="preserve">高危</w:t>
      </w:r>
      <w:r>
        <w:rPr>
          <w:rFonts w:ascii="Times New Roman" w:hAnsi="Times New Roman" w:eastAsia="仿宋_GB2312"/>
          <w:kern w:val="2"/>
          <w:sz w:val="28"/>
          <w:szCs w:val="28"/>
        </w:rPr>
        <w:t>。</w:t>
      </w:r>
    </w:p>
    <w:p w14:paraId="14710D34">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hint="default" w:ascii="Times New Roman" w:hAnsi="Times New Roman" w:eastAsia="仿宋_GB2312"/>
          <w:kern w:val="2"/>
          <w:sz w:val="28"/>
          <w:szCs w:val="28"/>
          <w:lang w:val="en-US" w:eastAsia="zh-CN"/>
        </w:rPr>
      </w:pPr>
      <w:r>
        <w:rPr>
          <w:rFonts w:hint="eastAsia" w:ascii="Times New Roman" w:hAnsi="Times New Roman" w:eastAsia="仿宋_GB2312"/>
          <w:kern w:val="2"/>
          <w:sz w:val="28"/>
          <w:szCs w:val="28"/>
          <w:lang w:val="en-US" w:eastAsia="zh-CN"/>
        </w:rPr>
        <w:t xml:space="preserve">NetScaler ADC 和 NetScaler Gateway 存在越界读取漏洞，Citrix NetScaler ADC 和 Gateway 设备被配置为 SAML 身份提供商时，其身份验证组件在处理特定 SAML 请求时未能对输入数据进行充分的边界检查。这种验证不足导致了内存越界读取漏洞，使得攻击者无需任何身份认证，即可通过发送特制的恶意请求触发程序读取预期缓冲区之外的内存数据。</w:t>
      </w:r>
    </w:p>
    <w:p w14:paraId="29812044">
      <w:pPr>
        <w:jc w:val="both"/>
        <w:rPr>
          <w:rFonts w:hint="eastAsia" w:ascii="黑体" w:hAnsi="黑体" w:eastAsia="黑体" w:cs="宋体"/>
          <w:sz w:val="32"/>
          <w:szCs w:val="32"/>
          <w:lang w:eastAsia="zh-CN"/>
        </w:rPr>
      </w:pPr>
      <w:bookmarkStart w:id="9" w:name="_Toc29047_WPSOffice_Level1"/>
      <w:bookmarkStart w:id="10" w:name="_Toc13276_WPSOffice_Level1"/>
      <w:bookmarkStart w:id="11" w:name="_Toc20867_WPSOffice_Level1"/>
      <w:r>
        <w:rPr>
          <w:rFonts w:hint="eastAsia" w:ascii="黑体" w:hAnsi="黑体" w:eastAsia="黑体" w:cs="宋体"/>
          <w:sz w:val="32"/>
          <w:szCs w:val="32"/>
          <w:lang w:eastAsia="zh-CN"/>
        </w:rPr>
        <w:br w:type="page"/>
      </w:r>
    </w:p>
    <w:p w14:paraId="14C3C0A5">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三、</w:t>
      </w:r>
      <w:r>
        <w:rPr>
          <w:rFonts w:hint="eastAsia" w:ascii="黑体" w:hAnsi="黑体" w:eastAsia="黑体" w:cs="宋体"/>
          <w:sz w:val="32"/>
          <w:szCs w:val="32"/>
        </w:rPr>
        <w:t>影响范围</w:t>
      </w:r>
      <w:bookmarkEnd w:id="9"/>
      <w:bookmarkEnd w:id="10"/>
      <w:bookmarkEnd w:id="11"/>
    </w:p>
    <w:p w14:paraId="60977D9C">
      <w:pPr>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目前受影响的Citrix NetScaler Gateway版本：</w:t>
      </w:r>
    </w:p>
    <w:p w14:paraId="573F0ECC">
      <w:pPr>
        <w:rPr>
          <w:rFonts w:ascii="宋体" w:hAnsi="宋体" w:cs="宋体"/>
          <w:color w:val="000000"/>
          <w:szCs w:val="21"/>
          <w:shd w:val="clear" w:color="auto" w:fill="FFFFFF"/>
        </w:rPr>
      </w:pPr>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NetScaler Gateway/ADC 14.1 &lt; 14.1-60.58</w:t>
        <w:br/>
        <w:t xml:space="preserve"> NetScaler Gateway/ADC 13.1 &lt; 13.1-62.23</w:t>
        <w:br/>
        <w:t xml:space="preserve"> NetScaler ADC FIPS/NDcPP 13.1 &lt; 13.1-37.262</w:t>
      </w:r>
    </w:p>
    <w:p w14:paraId="6DC8DDB0">
      <w:pPr>
        <w:rPr>
          <w:rFonts w:hint="eastAsia" w:ascii="黑体" w:hAnsi="黑体" w:eastAsia="黑体" w:cs="宋体"/>
          <w:sz w:val="32"/>
          <w:szCs w:val="32"/>
          <w:lang w:eastAsia="zh-CN"/>
        </w:rPr>
      </w:pPr>
      <w:bookmarkStart w:id="12" w:name="_Toc32492_WPSOffice_Level1"/>
      <w:bookmarkStart w:id="13" w:name="_Toc1323_WPSOffice_Level1"/>
      <w:bookmarkStart w:id="14" w:name="_Toc22106_WPSOffice_Level1"/>
      <w:r>
        <w:rPr>
          <w:rFonts w:hint="eastAsia" w:ascii="黑体" w:hAnsi="黑体" w:eastAsia="黑体" w:cs="宋体"/>
          <w:sz w:val="32"/>
          <w:szCs w:val="32"/>
          <w:lang w:eastAsia="zh-CN"/>
        </w:rPr>
        <w:br w:type="page"/>
      </w:r>
    </w:p>
    <w:p w14:paraId="35EB1240">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四、</w:t>
      </w:r>
      <w:r>
        <w:rPr>
          <w:rFonts w:hint="eastAsia" w:ascii="黑体" w:hAnsi="黑体" w:eastAsia="黑体" w:cs="宋体"/>
          <w:sz w:val="32"/>
          <w:szCs w:val="32"/>
        </w:rPr>
        <w:t>解决方案</w:t>
      </w:r>
      <w:bookmarkEnd w:id="12"/>
      <w:bookmarkEnd w:id="13"/>
      <w:bookmarkEnd w:id="14"/>
    </w:p>
    <w:p w14:paraId="39982326">
      <w:pPr>
        <w:pStyle w:val="3"/>
        <w:pageBreakBefore w:val="0"/>
        <w:widowControl w:val="0"/>
        <w:kinsoku/>
        <w:wordWrap w:val="0"/>
        <w:overflowPunct/>
        <w:topLinePunct w:val="0"/>
        <w:autoSpaceDE/>
        <w:autoSpaceDN/>
        <w:bidi w:val="0"/>
        <w:adjustRightInd/>
        <w:snapToGrid/>
        <w:spacing w:before="0" w:after="0" w:line="360" w:lineRule="auto"/>
        <w:textAlignment w:val="auto"/>
        <w:rPr>
          <w:rFonts w:hint="eastAsia"/>
        </w:rPr>
      </w:pPr>
      <w:bookmarkStart w:id="15" w:name="_Toc31784_WPSOffice_Level2"/>
      <w:bookmarkStart w:id="16" w:name="_Toc24063_WPSOffice_Level2"/>
      <w:r>
        <w:rPr>
          <w:rFonts w:hint="eastAsia" w:ascii="Times New Roman" w:hAnsi="Times New Roman" w:eastAsia="KaiTi_GB2312"/>
          <w:szCs w:val="32"/>
          <w:lang w:val="en-US" w:eastAsia="zh-CN"/>
        </w:rPr>
        <w:t>4</w:t>
      </w:r>
      <w:r>
        <w:rPr>
          <w:rFonts w:hint="eastAsia" w:ascii="Times New Roman" w:hAnsi="Times New Roman" w:eastAsia="KaiTi_GB2312"/>
          <w:szCs w:val="32"/>
        </w:rPr>
        <w:t>.1</w:t>
      </w:r>
      <w:r>
        <w:rPr>
          <w:rFonts w:hint="eastAsia" w:ascii="Times New Roman" w:hAnsi="Times New Roman" w:eastAsia="KaiTi_GB2312"/>
          <w:szCs w:val="32"/>
          <w:lang w:val="en-US" w:eastAsia="zh-CN"/>
        </w:rPr>
        <w:t xml:space="preserve"> </w:t>
      </w:r>
      <w:r>
        <w:rPr>
          <w:rFonts w:hint="eastAsia" w:ascii="Times New Roman" w:hAnsi="Times New Roman" w:eastAsia="KaiTi_GB2312"/>
          <w:szCs w:val="32"/>
        </w:rPr>
        <w:t>修复建议</w:t>
      </w:r>
      <w:bookmarkEnd w:id="15"/>
      <w:bookmarkEnd w:id="16"/>
      <w:bookmarkStart w:id="17" w:name="_Toc3455_WPSOffice_Level1"/>
      <w:bookmarkStart w:id="18" w:name="_Toc28613_WPSOffice_Level1"/>
    </w:p>
    <w:p w14:paraId="2E216026">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bCs w:val="0"/>
          <w:color w:val="000000" w:themeColor="text1"/>
          <w:sz w:val="28"/>
          <w:szCs w:val="28"/>
          <w:lang w:val="en-US" w:eastAsia="zh-CN"/>
          <w14:textFill>
            <w14:solidFill>
              <w14:schemeClr w14:val="tx1"/>
            </w14:solidFill>
          </w14:textFill>
        </w:rPr>
      </w:pPr>
      <w:r>
        <w:rPr>
          <w:rFonts w:hint="default" w:ascii="Times New Roman" w:hAnsi="Times New Roman" w:eastAsia="仿宋_GB2312"/>
          <w:b/>
          <w:bCs w:val="0"/>
          <w:color w:val="000000" w:themeColor="text1"/>
          <w:sz w:val="28"/>
          <w:szCs w:val="28"/>
          <w:lang w:val="en-US" w:eastAsia="zh-CN"/>
          <w14:textFill>
            <w14:solidFill>
              <w14:schemeClr w14:val="tx1"/>
            </w14:solidFill>
          </w14:textFill>
        </w:rPr>
        <w:t xml:space="preserve">1、官方修复建议</w:t>
      </w:r>
    </w:p>
    <w:p w14:paraId="16225C9F">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官方已发布最新版本修复该漏洞，建议受影响用户更新到最新版本。</w:t>
        <w:br/>
        <w:t xml:space="preserve">参考链接：https://support.citrix.com/support-home/kbsearch/article?articleNumber=CTX696300</w:t>
      </w:r>
    </w:p>
    <w:p w14:paraId="32B78E20">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bookmarkStart w:id="19" w:name="_GoBack"/>
      <w:bookmarkEnd w:id="19"/>
    </w:p>
    <w:p w14:paraId="3B52863B">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bCs w:val="0"/>
          <w:color w:val="000000" w:themeColor="text1"/>
          <w:sz w:val="28"/>
          <w:szCs w:val="28"/>
          <w:lang w:val="en-US" w:eastAsia="zh-CN"/>
          <w14:textFill>
            <w14:solidFill>
              <w14:schemeClr w14:val="tx1"/>
            </w14:solidFill>
          </w14:textFill>
        </w:rPr>
      </w:pPr>
      <w:r>
        <w:rPr>
          <w:rFonts w:hint="default" w:ascii="Times New Roman" w:hAnsi="Times New Roman" w:eastAsia="仿宋_GB2312"/>
          <w:b/>
          <w:bCs w:val="0"/>
          <w:color w:val="000000" w:themeColor="text1"/>
          <w:sz w:val="28"/>
          <w:szCs w:val="28"/>
          <w:lang w:val="en-US" w:eastAsia="zh-CN"/>
          <w14:textFill>
            <w14:solidFill>
              <w14:schemeClr w14:val="tx1"/>
            </w14:solidFill>
          </w14:textFill>
        </w:rPr>
        <w:t xml:space="preserve">2、临时修复建议</w:t>
      </w:r>
    </w:p>
    <w:p w14:paraId="3E3A6B60">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关闭未使用的功能模块，减少潜在攻击入口。</w:t>
      </w:r>
    </w:p>
    <w:p w14:paraId="2CC5C8DB">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遵循最小权限原则，严控各类敏感操作权限范围。</w:t>
      </w:r>
    </w:p>
    <w:p w14:paraId="381B16B5">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非必要不暴露服务到公网，限制访问源为可信范围。</w:t>
      </w:r>
    </w:p>
    <w:p w14:paraId="17665FCC">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黑体" w:hAnsi="黑体" w:eastAsia="黑体" w:cs="宋体"/>
          <w:sz w:val="32"/>
          <w:szCs w:val="32"/>
          <w:lang w:eastAsia="zh-CN"/>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定期更新系统及各类组件至安全版本，及时修补已知隐患。</w:t>
      </w:r>
      <w:r>
        <w:rPr>
          <w:rFonts w:hint="eastAsia" w:ascii="黑体" w:hAnsi="黑体" w:eastAsia="黑体" w:cs="宋体"/>
          <w:sz w:val="32"/>
          <w:szCs w:val="32"/>
          <w:lang w:eastAsia="zh-CN"/>
        </w:rPr>
        <w:br w:type="page"/>
      </w:r>
    </w:p>
    <w:bookmarkEnd w:id="17"/>
    <w:bookmarkEnd w:id="18"/>
    <w:p w14:paraId="12590A6E">
      <w:pPr>
        <w:pStyle w:val="2"/>
        <w:numPr>
          <w:ilvl w:val="0"/>
          <w:numId w:val="0"/>
        </w:numPr>
        <w:spacing w:before="120" w:after="120" w:line="600" w:lineRule="exact"/>
        <w:ind w:left="210" w:leftChars="0"/>
        <w:jc w:val="left"/>
        <w:rPr>
          <w:rFonts w:ascii="黑体" w:hAnsi="黑体" w:eastAsia="黑体" w:cs="宋体"/>
          <w:sz w:val="32"/>
          <w:szCs w:val="32"/>
        </w:rPr>
      </w:pPr>
      <w:r>
        <w:rPr>
          <w:rFonts w:hint="eastAsia" w:ascii="黑体" w:hAnsi="黑体" w:eastAsia="黑体" w:cs="宋体"/>
          <w:sz w:val="32"/>
          <w:szCs w:val="32"/>
          <w:lang w:val="en-US" w:eastAsia="zh-CN"/>
        </w:rPr>
        <w:t>五</w:t>
      </w:r>
      <w:r>
        <w:rPr>
          <w:rFonts w:hint="eastAsia" w:ascii="黑体" w:hAnsi="黑体" w:eastAsia="黑体" w:cs="宋体"/>
          <w:sz w:val="32"/>
          <w:szCs w:val="32"/>
          <w:lang w:eastAsia="zh-CN"/>
        </w:rPr>
        <w:t>、</w:t>
      </w:r>
      <w:r>
        <w:rPr>
          <w:rFonts w:hint="eastAsia" w:ascii="黑体" w:hAnsi="黑体" w:eastAsia="黑体" w:cs="宋体"/>
          <w:sz w:val="32"/>
          <w:szCs w:val="32"/>
        </w:rPr>
        <w:t>参考链接</w:t>
      </w:r>
    </w:p>
    <w:p w14:paraId="79709CFE">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https://support.citrix.com/support-home/kbsearch/article?articleNumber=CTX696300</w:t>
      </w:r>
    </w:p>
    <w:p w14:paraId="5922D1E4">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
      </w:r>
    </w:p>
    <w:p w14:paraId="4BDDD7F9">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
      </w:r>
    </w:p>
    <w:p w14:paraId="5FC38407"/>
    <w:sectPr>
      <w:headerReference r:id="rId4" w:type="default"/>
      <w:footerReference r:id="rId5"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KaiTi_GB2312">
    <w:altName w:val="楷体"/>
    <w:panose1 w:val="0201060906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8D1F0">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72E99">
    <w:pPr>
      <w:jc w:val="center"/>
      <w:rPr>
        <w:sz w:val="8"/>
        <w:szCs w:val="11"/>
      </w:rPr>
    </w:pP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674A8">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462414"/>
    <w:multiLevelType w:val="singleLevel"/>
    <w:tmpl w:val="F2462414"/>
    <w:lvl w:ilvl="0" w:tentative="0">
      <w:start w:val="1"/>
      <w:numFmt w:val="bullet"/>
      <w:suff w:val="space"/>
      <w:lvlText w:val=""/>
      <w:lvlJc w:val="left"/>
      <w:pPr>
        <w:ind w:left="420" w:leftChars="0" w:hanging="420" w:firstLineChars="0"/>
      </w:pPr>
      <w:rPr>
        <w:rFonts w:hint="default" w:ascii="Wingdings" w:hAnsi="Wingdings" w:cs="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3MGU2NGE4NTM0YzhjMTYyZjI1NmVhMTdkYjZkYjkifQ=="/>
  </w:docVars>
  <w:rsids>
    <w:rsidRoot w:val="002C641E"/>
    <w:rsid w:val="001D6240"/>
    <w:rsid w:val="002C641E"/>
    <w:rsid w:val="00310C1E"/>
    <w:rsid w:val="00576CB6"/>
    <w:rsid w:val="00AF3EF6"/>
    <w:rsid w:val="00B718CD"/>
    <w:rsid w:val="00B875C2"/>
    <w:rsid w:val="00BE609A"/>
    <w:rsid w:val="00C838B5"/>
    <w:rsid w:val="01B95E37"/>
    <w:rsid w:val="02461E94"/>
    <w:rsid w:val="02A1111E"/>
    <w:rsid w:val="02E42F55"/>
    <w:rsid w:val="02ED4364"/>
    <w:rsid w:val="030376E3"/>
    <w:rsid w:val="030D2402"/>
    <w:rsid w:val="031B4F07"/>
    <w:rsid w:val="032926CD"/>
    <w:rsid w:val="03372750"/>
    <w:rsid w:val="033D3793"/>
    <w:rsid w:val="03767EB5"/>
    <w:rsid w:val="037800D1"/>
    <w:rsid w:val="038325D2"/>
    <w:rsid w:val="03B72B81"/>
    <w:rsid w:val="03FD104F"/>
    <w:rsid w:val="041110E3"/>
    <w:rsid w:val="04B31EAA"/>
    <w:rsid w:val="054D6A73"/>
    <w:rsid w:val="05A2611F"/>
    <w:rsid w:val="05A67B5A"/>
    <w:rsid w:val="05A830A3"/>
    <w:rsid w:val="0623066C"/>
    <w:rsid w:val="063522A9"/>
    <w:rsid w:val="063948D0"/>
    <w:rsid w:val="06731467"/>
    <w:rsid w:val="06804CA8"/>
    <w:rsid w:val="07CE23CD"/>
    <w:rsid w:val="07D10F2C"/>
    <w:rsid w:val="07FC7197"/>
    <w:rsid w:val="08554BF4"/>
    <w:rsid w:val="085A0B4F"/>
    <w:rsid w:val="086D5077"/>
    <w:rsid w:val="08AB6853"/>
    <w:rsid w:val="08FB0F49"/>
    <w:rsid w:val="09177C43"/>
    <w:rsid w:val="09BA3BEF"/>
    <w:rsid w:val="09BB5024"/>
    <w:rsid w:val="0A51324C"/>
    <w:rsid w:val="0A740EE4"/>
    <w:rsid w:val="0A99490D"/>
    <w:rsid w:val="0B357E5F"/>
    <w:rsid w:val="0B4B7345"/>
    <w:rsid w:val="0B5331D2"/>
    <w:rsid w:val="0B6B582D"/>
    <w:rsid w:val="0C3B56B4"/>
    <w:rsid w:val="0C6B1331"/>
    <w:rsid w:val="0D240EA5"/>
    <w:rsid w:val="0DF90060"/>
    <w:rsid w:val="0DFA20D5"/>
    <w:rsid w:val="0ECF7F44"/>
    <w:rsid w:val="0F116894"/>
    <w:rsid w:val="0F2E69B7"/>
    <w:rsid w:val="0F3A0469"/>
    <w:rsid w:val="0F900551"/>
    <w:rsid w:val="0FAB5527"/>
    <w:rsid w:val="0FE14FA9"/>
    <w:rsid w:val="102173FB"/>
    <w:rsid w:val="1045725B"/>
    <w:rsid w:val="104F21BA"/>
    <w:rsid w:val="10605C7F"/>
    <w:rsid w:val="106B4B1A"/>
    <w:rsid w:val="107B6DAF"/>
    <w:rsid w:val="10866C9E"/>
    <w:rsid w:val="109D4436"/>
    <w:rsid w:val="10A9384D"/>
    <w:rsid w:val="10D426BF"/>
    <w:rsid w:val="11103EA0"/>
    <w:rsid w:val="114F61E9"/>
    <w:rsid w:val="11B67D54"/>
    <w:rsid w:val="11BC7AA0"/>
    <w:rsid w:val="121340A3"/>
    <w:rsid w:val="12196A06"/>
    <w:rsid w:val="1235718D"/>
    <w:rsid w:val="12A1058C"/>
    <w:rsid w:val="130268C3"/>
    <w:rsid w:val="135C54E2"/>
    <w:rsid w:val="13E01036"/>
    <w:rsid w:val="14254AA1"/>
    <w:rsid w:val="1468384A"/>
    <w:rsid w:val="14795A57"/>
    <w:rsid w:val="149F2FE4"/>
    <w:rsid w:val="14DE14DF"/>
    <w:rsid w:val="15202377"/>
    <w:rsid w:val="154A412B"/>
    <w:rsid w:val="156E6B50"/>
    <w:rsid w:val="15B354C2"/>
    <w:rsid w:val="15D33DE8"/>
    <w:rsid w:val="15E57BB9"/>
    <w:rsid w:val="16270293"/>
    <w:rsid w:val="165B62E4"/>
    <w:rsid w:val="166B669A"/>
    <w:rsid w:val="168666ED"/>
    <w:rsid w:val="17815808"/>
    <w:rsid w:val="17B84AE8"/>
    <w:rsid w:val="17EA43BD"/>
    <w:rsid w:val="17F9622C"/>
    <w:rsid w:val="180B5416"/>
    <w:rsid w:val="182A3751"/>
    <w:rsid w:val="18C908CC"/>
    <w:rsid w:val="18E24FFF"/>
    <w:rsid w:val="18F71261"/>
    <w:rsid w:val="19033B41"/>
    <w:rsid w:val="193C4840"/>
    <w:rsid w:val="199E58ED"/>
    <w:rsid w:val="19CE1A76"/>
    <w:rsid w:val="19CF0E02"/>
    <w:rsid w:val="19ED659F"/>
    <w:rsid w:val="1AEF39A0"/>
    <w:rsid w:val="1B31550E"/>
    <w:rsid w:val="1B7927E1"/>
    <w:rsid w:val="1B7B5765"/>
    <w:rsid w:val="1C631526"/>
    <w:rsid w:val="1CA37E78"/>
    <w:rsid w:val="1CE1788D"/>
    <w:rsid w:val="1D3725B5"/>
    <w:rsid w:val="1D537076"/>
    <w:rsid w:val="1D8C7022"/>
    <w:rsid w:val="1DA33B45"/>
    <w:rsid w:val="1DC620C3"/>
    <w:rsid w:val="1DD41F50"/>
    <w:rsid w:val="1E2856B7"/>
    <w:rsid w:val="1E574EB0"/>
    <w:rsid w:val="1ECB5B92"/>
    <w:rsid w:val="1F435D1C"/>
    <w:rsid w:val="1F5875D2"/>
    <w:rsid w:val="1F782E84"/>
    <w:rsid w:val="1F8C62DE"/>
    <w:rsid w:val="1FAB6EB4"/>
    <w:rsid w:val="1FB06289"/>
    <w:rsid w:val="1FD91AA0"/>
    <w:rsid w:val="2018381D"/>
    <w:rsid w:val="20284A89"/>
    <w:rsid w:val="2076109D"/>
    <w:rsid w:val="207E3562"/>
    <w:rsid w:val="21015CDF"/>
    <w:rsid w:val="212D736A"/>
    <w:rsid w:val="21B15354"/>
    <w:rsid w:val="226D4CDE"/>
    <w:rsid w:val="22926FB4"/>
    <w:rsid w:val="22B91259"/>
    <w:rsid w:val="22BE0AB0"/>
    <w:rsid w:val="23255714"/>
    <w:rsid w:val="234C1DB6"/>
    <w:rsid w:val="23744D55"/>
    <w:rsid w:val="2398757C"/>
    <w:rsid w:val="23F72CA9"/>
    <w:rsid w:val="24432557"/>
    <w:rsid w:val="24895819"/>
    <w:rsid w:val="24B76786"/>
    <w:rsid w:val="24B92E8D"/>
    <w:rsid w:val="24BE51EF"/>
    <w:rsid w:val="24EC0531"/>
    <w:rsid w:val="255A71DF"/>
    <w:rsid w:val="26464CD4"/>
    <w:rsid w:val="264C6612"/>
    <w:rsid w:val="26B15D74"/>
    <w:rsid w:val="26F120D4"/>
    <w:rsid w:val="26FA1171"/>
    <w:rsid w:val="27194E78"/>
    <w:rsid w:val="275733BA"/>
    <w:rsid w:val="27837F5E"/>
    <w:rsid w:val="27CB2BFE"/>
    <w:rsid w:val="27E31836"/>
    <w:rsid w:val="27FA68D1"/>
    <w:rsid w:val="282836A0"/>
    <w:rsid w:val="28326CA9"/>
    <w:rsid w:val="28363477"/>
    <w:rsid w:val="293F0C21"/>
    <w:rsid w:val="298E062C"/>
    <w:rsid w:val="29E51041"/>
    <w:rsid w:val="29F2343E"/>
    <w:rsid w:val="2A0F16A9"/>
    <w:rsid w:val="2A1651BE"/>
    <w:rsid w:val="2A553FC0"/>
    <w:rsid w:val="2A98116D"/>
    <w:rsid w:val="2A9C6197"/>
    <w:rsid w:val="2B275DB5"/>
    <w:rsid w:val="2B2974B2"/>
    <w:rsid w:val="2BD62EF4"/>
    <w:rsid w:val="2BF314F3"/>
    <w:rsid w:val="2C455E0C"/>
    <w:rsid w:val="2C7B119F"/>
    <w:rsid w:val="2C9713FA"/>
    <w:rsid w:val="2CA1313B"/>
    <w:rsid w:val="2CBD3162"/>
    <w:rsid w:val="2CC33AC5"/>
    <w:rsid w:val="2D294548"/>
    <w:rsid w:val="2D5F3F48"/>
    <w:rsid w:val="2DC1396A"/>
    <w:rsid w:val="2DD41AF8"/>
    <w:rsid w:val="2E261208"/>
    <w:rsid w:val="2F203154"/>
    <w:rsid w:val="2F454A5C"/>
    <w:rsid w:val="2F6D7B0F"/>
    <w:rsid w:val="2FA25E1A"/>
    <w:rsid w:val="2FD45DE0"/>
    <w:rsid w:val="2FF236D2"/>
    <w:rsid w:val="301A60D8"/>
    <w:rsid w:val="30354AD0"/>
    <w:rsid w:val="305F7D9F"/>
    <w:rsid w:val="306D4AFE"/>
    <w:rsid w:val="30CF7DBD"/>
    <w:rsid w:val="30E402A4"/>
    <w:rsid w:val="317C672F"/>
    <w:rsid w:val="319679F0"/>
    <w:rsid w:val="319C60F2"/>
    <w:rsid w:val="32244DFC"/>
    <w:rsid w:val="32A750C6"/>
    <w:rsid w:val="32DC5EA6"/>
    <w:rsid w:val="32F93ECE"/>
    <w:rsid w:val="332A3374"/>
    <w:rsid w:val="33444F33"/>
    <w:rsid w:val="334F40FB"/>
    <w:rsid w:val="338E6D71"/>
    <w:rsid w:val="33FB7DA4"/>
    <w:rsid w:val="34000F51"/>
    <w:rsid w:val="34045AFC"/>
    <w:rsid w:val="342E0382"/>
    <w:rsid w:val="3436762C"/>
    <w:rsid w:val="348778C5"/>
    <w:rsid w:val="34CE54F3"/>
    <w:rsid w:val="356011AB"/>
    <w:rsid w:val="35675000"/>
    <w:rsid w:val="35903D93"/>
    <w:rsid w:val="35A73652"/>
    <w:rsid w:val="362706E4"/>
    <w:rsid w:val="37AD23F0"/>
    <w:rsid w:val="37EA2E49"/>
    <w:rsid w:val="38170F5F"/>
    <w:rsid w:val="38877361"/>
    <w:rsid w:val="392201BC"/>
    <w:rsid w:val="393265FA"/>
    <w:rsid w:val="393A2ABE"/>
    <w:rsid w:val="3941732F"/>
    <w:rsid w:val="39E42709"/>
    <w:rsid w:val="3A2268AB"/>
    <w:rsid w:val="3A2D0B18"/>
    <w:rsid w:val="3A4A561C"/>
    <w:rsid w:val="3A4B3AFC"/>
    <w:rsid w:val="3A575DEA"/>
    <w:rsid w:val="3A601D6C"/>
    <w:rsid w:val="3A922B1F"/>
    <w:rsid w:val="3A9759EF"/>
    <w:rsid w:val="3BA44DC7"/>
    <w:rsid w:val="3BAE670E"/>
    <w:rsid w:val="3BB80C89"/>
    <w:rsid w:val="3BD641FD"/>
    <w:rsid w:val="3BDA1D32"/>
    <w:rsid w:val="3BED4C13"/>
    <w:rsid w:val="3C033CD5"/>
    <w:rsid w:val="3C0D4C3B"/>
    <w:rsid w:val="3C3A787E"/>
    <w:rsid w:val="3C651DAB"/>
    <w:rsid w:val="3D5B7FBA"/>
    <w:rsid w:val="3DE173D4"/>
    <w:rsid w:val="3EB245FD"/>
    <w:rsid w:val="3EC6723B"/>
    <w:rsid w:val="3F1018CF"/>
    <w:rsid w:val="3F842E60"/>
    <w:rsid w:val="3FF036F2"/>
    <w:rsid w:val="400D3374"/>
    <w:rsid w:val="40440A07"/>
    <w:rsid w:val="40CB19C5"/>
    <w:rsid w:val="40E13EB9"/>
    <w:rsid w:val="40E57DEE"/>
    <w:rsid w:val="41664EC1"/>
    <w:rsid w:val="41726CF9"/>
    <w:rsid w:val="423145D6"/>
    <w:rsid w:val="42326B0F"/>
    <w:rsid w:val="42441171"/>
    <w:rsid w:val="42B70929"/>
    <w:rsid w:val="42C23A7E"/>
    <w:rsid w:val="431F7DD7"/>
    <w:rsid w:val="43582AEC"/>
    <w:rsid w:val="43CC3272"/>
    <w:rsid w:val="440B2578"/>
    <w:rsid w:val="44983428"/>
    <w:rsid w:val="45466C0F"/>
    <w:rsid w:val="45667082"/>
    <w:rsid w:val="45742847"/>
    <w:rsid w:val="45FA73F5"/>
    <w:rsid w:val="460C5E7C"/>
    <w:rsid w:val="465B64BB"/>
    <w:rsid w:val="46CE560C"/>
    <w:rsid w:val="46E12E64"/>
    <w:rsid w:val="46E56F6D"/>
    <w:rsid w:val="46F91B11"/>
    <w:rsid w:val="472A5C6A"/>
    <w:rsid w:val="474156DE"/>
    <w:rsid w:val="47624658"/>
    <w:rsid w:val="478232EA"/>
    <w:rsid w:val="47D77BD2"/>
    <w:rsid w:val="47FC0553"/>
    <w:rsid w:val="482A6C84"/>
    <w:rsid w:val="48892B0B"/>
    <w:rsid w:val="48BC48D7"/>
    <w:rsid w:val="48E27AEF"/>
    <w:rsid w:val="493B3B1C"/>
    <w:rsid w:val="493B60C3"/>
    <w:rsid w:val="498E7E6B"/>
    <w:rsid w:val="49C01457"/>
    <w:rsid w:val="49E54A1F"/>
    <w:rsid w:val="49F34E9D"/>
    <w:rsid w:val="4A18157F"/>
    <w:rsid w:val="4A210E47"/>
    <w:rsid w:val="4A3533C2"/>
    <w:rsid w:val="4A4E6A63"/>
    <w:rsid w:val="4AC8315A"/>
    <w:rsid w:val="4ADF22C7"/>
    <w:rsid w:val="4AE471AF"/>
    <w:rsid w:val="4AEE3DA2"/>
    <w:rsid w:val="4B887813"/>
    <w:rsid w:val="4BC13264"/>
    <w:rsid w:val="4C4E656F"/>
    <w:rsid w:val="4C8E6591"/>
    <w:rsid w:val="4CDF7106"/>
    <w:rsid w:val="4D0475FC"/>
    <w:rsid w:val="4D062A2E"/>
    <w:rsid w:val="4DA1750D"/>
    <w:rsid w:val="4E432CB2"/>
    <w:rsid w:val="4EC512BE"/>
    <w:rsid w:val="4F587392"/>
    <w:rsid w:val="4F783FBA"/>
    <w:rsid w:val="4FC86D44"/>
    <w:rsid w:val="50277CC1"/>
    <w:rsid w:val="504A017D"/>
    <w:rsid w:val="50C46F73"/>
    <w:rsid w:val="50FE76EC"/>
    <w:rsid w:val="510E6CB6"/>
    <w:rsid w:val="518014CC"/>
    <w:rsid w:val="51C92E73"/>
    <w:rsid w:val="52027454"/>
    <w:rsid w:val="525B61CA"/>
    <w:rsid w:val="52635075"/>
    <w:rsid w:val="52697B09"/>
    <w:rsid w:val="52CC5610"/>
    <w:rsid w:val="52D416FF"/>
    <w:rsid w:val="52EC6E19"/>
    <w:rsid w:val="53043FF4"/>
    <w:rsid w:val="532C1024"/>
    <w:rsid w:val="53CD06FE"/>
    <w:rsid w:val="53E775E0"/>
    <w:rsid w:val="5426635A"/>
    <w:rsid w:val="54764FA9"/>
    <w:rsid w:val="54CC6C29"/>
    <w:rsid w:val="54DB5397"/>
    <w:rsid w:val="55DC5262"/>
    <w:rsid w:val="567B1F2B"/>
    <w:rsid w:val="5737026E"/>
    <w:rsid w:val="57CF31F4"/>
    <w:rsid w:val="581F1657"/>
    <w:rsid w:val="584523D6"/>
    <w:rsid w:val="58BF6EA0"/>
    <w:rsid w:val="59731977"/>
    <w:rsid w:val="5996100A"/>
    <w:rsid w:val="59A1492D"/>
    <w:rsid w:val="59D14FBA"/>
    <w:rsid w:val="59D959ED"/>
    <w:rsid w:val="5A605D9D"/>
    <w:rsid w:val="5AAB1367"/>
    <w:rsid w:val="5AE0580F"/>
    <w:rsid w:val="5B252280"/>
    <w:rsid w:val="5B570446"/>
    <w:rsid w:val="5B991165"/>
    <w:rsid w:val="5B9F5714"/>
    <w:rsid w:val="5BA109BC"/>
    <w:rsid w:val="5BA8020D"/>
    <w:rsid w:val="5BAC4E41"/>
    <w:rsid w:val="5BAF7C11"/>
    <w:rsid w:val="5BB35A75"/>
    <w:rsid w:val="5C7F3795"/>
    <w:rsid w:val="5D0B0123"/>
    <w:rsid w:val="5D263C24"/>
    <w:rsid w:val="5D6F463D"/>
    <w:rsid w:val="5D7D24D7"/>
    <w:rsid w:val="5DCA6095"/>
    <w:rsid w:val="5DD62E92"/>
    <w:rsid w:val="5E096739"/>
    <w:rsid w:val="5EFC0095"/>
    <w:rsid w:val="5FDB6665"/>
    <w:rsid w:val="602B3942"/>
    <w:rsid w:val="60853339"/>
    <w:rsid w:val="60A71F78"/>
    <w:rsid w:val="60F5454D"/>
    <w:rsid w:val="6196304B"/>
    <w:rsid w:val="619743F4"/>
    <w:rsid w:val="61E21FC8"/>
    <w:rsid w:val="62D41677"/>
    <w:rsid w:val="63133F4E"/>
    <w:rsid w:val="6320666B"/>
    <w:rsid w:val="633A3BD0"/>
    <w:rsid w:val="636A1029"/>
    <w:rsid w:val="63961C8A"/>
    <w:rsid w:val="63BD75E9"/>
    <w:rsid w:val="63DC3873"/>
    <w:rsid w:val="644C7A4D"/>
    <w:rsid w:val="644D3DA7"/>
    <w:rsid w:val="645B1F55"/>
    <w:rsid w:val="65433418"/>
    <w:rsid w:val="65546DCD"/>
    <w:rsid w:val="658A4BC6"/>
    <w:rsid w:val="65EE5129"/>
    <w:rsid w:val="66686E9D"/>
    <w:rsid w:val="6671443E"/>
    <w:rsid w:val="668B37E0"/>
    <w:rsid w:val="66CD308D"/>
    <w:rsid w:val="66F15ADB"/>
    <w:rsid w:val="66F347C2"/>
    <w:rsid w:val="67100C9D"/>
    <w:rsid w:val="67255D99"/>
    <w:rsid w:val="67784CC7"/>
    <w:rsid w:val="67C95196"/>
    <w:rsid w:val="67D353B9"/>
    <w:rsid w:val="67DF43AA"/>
    <w:rsid w:val="67EE02D3"/>
    <w:rsid w:val="67F129DF"/>
    <w:rsid w:val="682B7F8C"/>
    <w:rsid w:val="685813CE"/>
    <w:rsid w:val="68A76795"/>
    <w:rsid w:val="68CD3DA9"/>
    <w:rsid w:val="68EB1D2A"/>
    <w:rsid w:val="690833DF"/>
    <w:rsid w:val="695E7D15"/>
    <w:rsid w:val="69C55217"/>
    <w:rsid w:val="69CB130B"/>
    <w:rsid w:val="69D56401"/>
    <w:rsid w:val="6A415844"/>
    <w:rsid w:val="6A9502A9"/>
    <w:rsid w:val="6AB4441A"/>
    <w:rsid w:val="6B013226"/>
    <w:rsid w:val="6B0F093F"/>
    <w:rsid w:val="6B9B5344"/>
    <w:rsid w:val="6C313FCE"/>
    <w:rsid w:val="6C3A079D"/>
    <w:rsid w:val="6C6B4DFB"/>
    <w:rsid w:val="6CEB733C"/>
    <w:rsid w:val="6D1C4271"/>
    <w:rsid w:val="6D4E378A"/>
    <w:rsid w:val="6D785A21"/>
    <w:rsid w:val="6D8F4B19"/>
    <w:rsid w:val="6D981C1F"/>
    <w:rsid w:val="6DBC3A50"/>
    <w:rsid w:val="6E75060E"/>
    <w:rsid w:val="6EAD2737"/>
    <w:rsid w:val="6F226A58"/>
    <w:rsid w:val="6F795AFD"/>
    <w:rsid w:val="6FE97EDC"/>
    <w:rsid w:val="700A492A"/>
    <w:rsid w:val="70567B70"/>
    <w:rsid w:val="709C22DA"/>
    <w:rsid w:val="70A671CC"/>
    <w:rsid w:val="71235CD2"/>
    <w:rsid w:val="71422298"/>
    <w:rsid w:val="71947E7C"/>
    <w:rsid w:val="71B6242C"/>
    <w:rsid w:val="724C1EFB"/>
    <w:rsid w:val="72877CEC"/>
    <w:rsid w:val="72C70E3F"/>
    <w:rsid w:val="72D0724E"/>
    <w:rsid w:val="72D16C07"/>
    <w:rsid w:val="73373A9A"/>
    <w:rsid w:val="73B811B3"/>
    <w:rsid w:val="73E3554D"/>
    <w:rsid w:val="74130252"/>
    <w:rsid w:val="7413255E"/>
    <w:rsid w:val="743712EF"/>
    <w:rsid w:val="744E160F"/>
    <w:rsid w:val="74CA268C"/>
    <w:rsid w:val="75086A21"/>
    <w:rsid w:val="75710571"/>
    <w:rsid w:val="759929D8"/>
    <w:rsid w:val="75DA6B4D"/>
    <w:rsid w:val="76051C6B"/>
    <w:rsid w:val="7675609A"/>
    <w:rsid w:val="76947BEA"/>
    <w:rsid w:val="76EF03D6"/>
    <w:rsid w:val="77CB5134"/>
    <w:rsid w:val="77FC3D18"/>
    <w:rsid w:val="78004C49"/>
    <w:rsid w:val="7804331C"/>
    <w:rsid w:val="78276EDD"/>
    <w:rsid w:val="78976943"/>
    <w:rsid w:val="78EA683F"/>
    <w:rsid w:val="79690544"/>
    <w:rsid w:val="79B24CF6"/>
    <w:rsid w:val="79E63D12"/>
    <w:rsid w:val="79E75451"/>
    <w:rsid w:val="7A010B4C"/>
    <w:rsid w:val="7A311C50"/>
    <w:rsid w:val="7A8878D7"/>
    <w:rsid w:val="7AC67317"/>
    <w:rsid w:val="7B5C016B"/>
    <w:rsid w:val="7B9B3171"/>
    <w:rsid w:val="7C0D5521"/>
    <w:rsid w:val="7C29601C"/>
    <w:rsid w:val="7C5F7DAC"/>
    <w:rsid w:val="7C63789C"/>
    <w:rsid w:val="7C70331E"/>
    <w:rsid w:val="7CB5524E"/>
    <w:rsid w:val="7D146DE8"/>
    <w:rsid w:val="7D234699"/>
    <w:rsid w:val="7D423956"/>
    <w:rsid w:val="7D6E1980"/>
    <w:rsid w:val="7D731D0E"/>
    <w:rsid w:val="7DF15584"/>
    <w:rsid w:val="7E1846B6"/>
    <w:rsid w:val="7E2D0E81"/>
    <w:rsid w:val="7EDD07B8"/>
    <w:rsid w:val="7EDF0AE5"/>
    <w:rsid w:val="7EF37C32"/>
    <w:rsid w:val="7F1A2D9B"/>
    <w:rsid w:val="7F3A6A50"/>
    <w:rsid w:val="7F6854B1"/>
    <w:rsid w:val="7F7B03C7"/>
    <w:rsid w:val="7F8E63EE"/>
    <w:rsid w:val="7FA70DB0"/>
    <w:rsid w:val="7FC526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4"/>
    <w:basedOn w:val="1"/>
    <w:next w:val="1"/>
    <w:autoRedefine/>
    <w:semiHidden/>
    <w:unhideWhenUsed/>
    <w:qFormat/>
    <w:uiPriority w:val="0"/>
    <w:pPr>
      <w:spacing w:beforeAutospacing="1" w:afterAutospacing="1"/>
      <w:jc w:val="left"/>
      <w:outlineLvl w:val="3"/>
    </w:pPr>
    <w:rPr>
      <w:rFonts w:hint="eastAsia" w:ascii="宋体" w:hAnsi="宋体"/>
      <w:b/>
      <w:kern w:val="0"/>
      <w:sz w:val="24"/>
    </w:rPr>
  </w:style>
  <w:style w:type="character" w:default="1" w:styleId="12">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99"/>
    <w:pPr>
      <w:jc w:val="left"/>
    </w:p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9">
    <w:name w:val="Normal (Web)"/>
    <w:basedOn w:val="1"/>
    <w:autoRedefine/>
    <w:qFormat/>
    <w:uiPriority w:val="0"/>
    <w:pPr>
      <w:spacing w:before="100" w:beforeAutospacing="1" w:after="100" w:afterAutospacing="1"/>
      <w:jc w:val="left"/>
    </w:pPr>
    <w:rPr>
      <w:kern w:val="0"/>
      <w:sz w:val="24"/>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0"/>
    <w:rPr>
      <w:b/>
    </w:rPr>
  </w:style>
  <w:style w:type="character" w:styleId="14">
    <w:name w:val="Emphasis"/>
    <w:basedOn w:val="12"/>
    <w:autoRedefine/>
    <w:qFormat/>
    <w:uiPriority w:val="0"/>
    <w:rPr>
      <w:i/>
    </w:rPr>
  </w:style>
  <w:style w:type="character" w:styleId="15">
    <w:name w:val="Hyperlink"/>
    <w:basedOn w:val="12"/>
    <w:autoRedefine/>
    <w:qFormat/>
    <w:uiPriority w:val="0"/>
    <w:rPr>
      <w:color w:val="0000FF"/>
      <w:u w:val="single"/>
    </w:rPr>
  </w:style>
  <w:style w:type="character" w:styleId="16">
    <w:name w:val="HTML Code"/>
    <w:basedOn w:val="12"/>
    <w:autoRedefine/>
    <w:qFormat/>
    <w:uiPriority w:val="0"/>
    <w:rPr>
      <w:rFonts w:ascii="Courier New" w:hAnsi="Courier New"/>
      <w:sz w:val="20"/>
    </w:rPr>
  </w:style>
  <w:style w:type="character" w:styleId="17">
    <w:name w:val="annotation reference"/>
    <w:basedOn w:val="12"/>
    <w:autoRedefine/>
    <w:qFormat/>
    <w:uiPriority w:val="0"/>
    <w:rPr>
      <w:sz w:val="21"/>
      <w:szCs w:val="21"/>
    </w:rPr>
  </w:style>
  <w:style w:type="paragraph" w:customStyle="1" w:styleId="18">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19">
    <w:name w:val="WPSOffice手动目录 1"/>
    <w:autoRedefine/>
    <w:qFormat/>
    <w:uiPriority w:val="0"/>
    <w:rPr>
      <w:rFonts w:ascii="Times New Roman" w:hAnsi="Times New Roman" w:eastAsia="宋体" w:cs="Times New Roman"/>
      <w:lang w:val="en-US" w:eastAsia="zh-CN" w:bidi="ar-SA"/>
    </w:rPr>
  </w:style>
  <w:style w:type="paragraph" w:customStyle="1" w:styleId="20">
    <w:name w:val="普通(网站)1"/>
    <w:basedOn w:val="1"/>
    <w:autoRedefine/>
    <w:qFormat/>
    <w:uiPriority w:val="0"/>
    <w:pPr>
      <w:spacing w:before="100" w:beforeAutospacing="1" w:after="100" w:afterAutospacing="1"/>
      <w:jc w:val="left"/>
    </w:pPr>
    <w:rPr>
      <w:kern w:val="0"/>
      <w:sz w:val="24"/>
    </w:rPr>
  </w:style>
  <w:style w:type="paragraph" w:customStyle="1" w:styleId="21">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127</Words>
  <Characters>303</Characters>
  <Lines>21</Lines>
  <Paragraphs>6</Paragraphs>
  <TotalTime>0</TotalTime>
  <ScaleCrop>false</ScaleCrop>
  <LinksUpToDate>false</LinksUpToDate>
  <CharactersWithSpaces>329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sangfor</dc:creator>
  <cp:lastModifiedBy>。</cp:lastModifiedBy>
  <dcterms:modified xsi:type="dcterms:W3CDTF">2025-10-31T09:00:01Z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84C146D35EBC46CB8D0B0BC6501892F0</vt:lpwstr>
  </property>
  <property fmtid="{D5CDD505-2E9C-101B-9397-08002B2CF9AE}" pid="4" name="KSOTemplateDocerSaveRecord">
    <vt:lpwstr>eyJoZGlkIjoiYTEyNjYwOGZlOTQ4ZDlmNjc5NDYzOGVhYjc0YjdiZjkiLCJ1c2VySWQiOiIxNDE2ODY3OTg2In0=</vt:lpwstr>
  </property>
</Properties>
</file>