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B45BE" w14:paraId="244C410E" w14:textId="77777777" w:rsidTr="005404D8">
        <w:tc>
          <w:tcPr>
            <w:tcW w:w="1838" w:type="dxa"/>
          </w:tcPr>
          <w:p w14:paraId="0F30D208" w14:textId="77777777" w:rsidR="007B45BE" w:rsidRDefault="007B45BE" w:rsidP="007B45BE">
            <w:r>
              <w:t>First name:</w:t>
            </w:r>
          </w:p>
        </w:tc>
        <w:tc>
          <w:tcPr>
            <w:tcW w:w="6458" w:type="dxa"/>
          </w:tcPr>
          <w:p w14:paraId="5EF6273D" w14:textId="32EC52C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Dai</w:t>
            </w:r>
          </w:p>
        </w:tc>
      </w:tr>
      <w:tr w:rsidR="007B45BE" w14:paraId="796299AF" w14:textId="77777777" w:rsidTr="005404D8">
        <w:tc>
          <w:tcPr>
            <w:tcW w:w="1838" w:type="dxa"/>
          </w:tcPr>
          <w:p w14:paraId="1C686D29" w14:textId="77777777" w:rsidR="007B45BE" w:rsidRDefault="007B45BE" w:rsidP="007B45BE">
            <w:r>
              <w:t>Last name:</w:t>
            </w:r>
          </w:p>
        </w:tc>
        <w:tc>
          <w:tcPr>
            <w:tcW w:w="6458" w:type="dxa"/>
          </w:tcPr>
          <w:p w14:paraId="6D3084C6" w14:textId="77F33A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Kanzaki</w:t>
            </w:r>
          </w:p>
        </w:tc>
      </w:tr>
      <w:tr w:rsidR="007B45BE" w14:paraId="28E14497" w14:textId="77777777" w:rsidTr="005404D8">
        <w:tc>
          <w:tcPr>
            <w:tcW w:w="1838" w:type="dxa"/>
          </w:tcPr>
          <w:p w14:paraId="56AED538" w14:textId="77777777" w:rsidR="007B45BE" w:rsidRDefault="007B45BE" w:rsidP="007B45BE">
            <w:r>
              <w:t>Organization:</w:t>
            </w:r>
          </w:p>
        </w:tc>
        <w:tc>
          <w:tcPr>
            <w:tcW w:w="6458" w:type="dxa"/>
          </w:tcPr>
          <w:p w14:paraId="0C36AEEC" w14:textId="55E4B46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7B45BE">
              <w:rPr>
                <w:rFonts w:eastAsia="Yu Mincho"/>
                <w:color w:val="FF0000"/>
                <w:lang w:eastAsia="ja-JP"/>
              </w:rPr>
              <w:t>HI Corporation</w:t>
            </w:r>
          </w:p>
        </w:tc>
      </w:tr>
      <w:tr w:rsidR="007B45BE" w14:paraId="6848D88E" w14:textId="77777777" w:rsidTr="005404D8">
        <w:tc>
          <w:tcPr>
            <w:tcW w:w="1838" w:type="dxa"/>
          </w:tcPr>
          <w:p w14:paraId="651118D0" w14:textId="77777777" w:rsidR="007B45BE" w:rsidRDefault="007B45BE" w:rsidP="007B45BE">
            <w:r>
              <w:t>Email:</w:t>
            </w:r>
          </w:p>
        </w:tc>
        <w:tc>
          <w:tcPr>
            <w:tcW w:w="6458" w:type="dxa"/>
          </w:tcPr>
          <w:p w14:paraId="5BF1DA19" w14:textId="3FD60A0D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Kanzaki7387@ihi-g.com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752E416C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756EDF">
              <w:rPr>
                <w:color w:val="FF0000"/>
              </w:rPr>
              <w:t>3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8D1AD81" w:rsidR="00B211A6" w:rsidRPr="009004A9" w:rsidRDefault="007B45BE" w:rsidP="007803CE">
            <w:pPr>
              <w:rPr>
                <w:color w:val="FF0000"/>
              </w:rPr>
            </w:pPr>
            <w:r w:rsidRPr="007B45BE">
              <w:rPr>
                <w:color w:val="FF0000"/>
              </w:rPr>
              <w:t>Inhouse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5BE" w14:paraId="6A0A578A" w14:textId="77777777" w:rsidTr="007803CE">
        <w:tc>
          <w:tcPr>
            <w:tcW w:w="4248" w:type="dxa"/>
          </w:tcPr>
          <w:p w14:paraId="77AF39E7" w14:textId="77777777" w:rsidR="007B45BE" w:rsidRDefault="007B45BE" w:rsidP="007B45B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5DDF5C1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3</w:t>
            </w:r>
          </w:p>
        </w:tc>
      </w:tr>
      <w:tr w:rsidR="007B45BE" w14:paraId="3DFD04A9" w14:textId="77777777" w:rsidTr="007803CE">
        <w:tc>
          <w:tcPr>
            <w:tcW w:w="4248" w:type="dxa"/>
          </w:tcPr>
          <w:p w14:paraId="29CD419F" w14:textId="77777777" w:rsidR="007B45BE" w:rsidRDefault="007B45BE" w:rsidP="007B45B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5CDCFE0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7B45BE">
              <w:rPr>
                <w:rFonts w:eastAsia="Yu Mincho"/>
                <w:color w:val="FF0000"/>
                <w:lang w:eastAsia="ja-JP"/>
              </w:rPr>
              <w:t>.26 Million</w:t>
            </w:r>
          </w:p>
        </w:tc>
      </w:tr>
      <w:tr w:rsidR="007B45BE" w14:paraId="5F931642" w14:textId="77777777" w:rsidTr="007803CE">
        <w:tc>
          <w:tcPr>
            <w:tcW w:w="4248" w:type="dxa"/>
          </w:tcPr>
          <w:p w14:paraId="2EA89565" w14:textId="77777777" w:rsidR="007B45BE" w:rsidRDefault="007B45BE" w:rsidP="007B45B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250A2F4E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7B45BE">
              <w:rPr>
                <w:rFonts w:eastAsia="Yu Mincho"/>
                <w:color w:val="FF0000"/>
                <w:lang w:eastAsia="ja-JP"/>
              </w:rPr>
              <w:t>.07 Million</w:t>
            </w:r>
          </w:p>
        </w:tc>
      </w:tr>
      <w:tr w:rsidR="007B45BE" w14:paraId="5AA8EEB3" w14:textId="77777777" w:rsidTr="007803CE">
        <w:tc>
          <w:tcPr>
            <w:tcW w:w="4248" w:type="dxa"/>
          </w:tcPr>
          <w:p w14:paraId="28C9C1BD" w14:textId="77777777" w:rsidR="007B45BE" w:rsidRDefault="007B45BE" w:rsidP="007B45BE">
            <w:r>
              <w:t>Type of grid element:</w:t>
            </w:r>
          </w:p>
          <w:p w14:paraId="5F1A2861" w14:textId="77777777" w:rsidR="007B45BE" w:rsidRDefault="007B45BE" w:rsidP="007B45B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2C5983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7B45BE" w14:paraId="2B1C7BDC" w14:textId="77777777" w:rsidTr="007803CE">
        <w:tc>
          <w:tcPr>
            <w:tcW w:w="4248" w:type="dxa"/>
          </w:tcPr>
          <w:p w14:paraId="1DDA317B" w14:textId="77777777" w:rsidR="007B45BE" w:rsidRDefault="007B45BE" w:rsidP="007B45B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400627B2" w:rsidR="007B45BE" w:rsidRPr="00107AC4" w:rsidRDefault="007B45BE" w:rsidP="007B45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7B45BE" w14:paraId="68B23B6F" w14:textId="77777777" w:rsidTr="007803CE">
        <w:tc>
          <w:tcPr>
            <w:tcW w:w="4248" w:type="dxa"/>
          </w:tcPr>
          <w:p w14:paraId="7EC87179" w14:textId="77777777" w:rsidR="007B45BE" w:rsidRDefault="007B45BE" w:rsidP="007B45B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72DB4F3" w:rsidR="007B45BE" w:rsidRPr="00107AC4" w:rsidRDefault="007B45BE" w:rsidP="007B45BE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5DC7E472" w:rsidR="00587DAC" w:rsidRPr="007B45BE" w:rsidRDefault="007B45BE" w:rsidP="00587DAC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7B45BE">
              <w:rPr>
                <w:rFonts w:eastAsia="Yu Mincho"/>
                <w:color w:val="FF0000"/>
                <w:lang w:eastAsia="ja-JP"/>
              </w:rPr>
              <w:t>PACS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 xml:space="preserve"> (</w:t>
            </w:r>
            <w:r w:rsidRPr="007B45BE">
              <w:rPr>
                <w:rFonts w:eastAsia="Yu Mincho"/>
                <w:color w:val="FF0000"/>
                <w:lang w:eastAsia="ja-JP"/>
              </w:rPr>
              <w:t>JAXA developed code)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346765EA" w:rsidR="00B46110" w:rsidRPr="007B45BE" w:rsidRDefault="007B45BE" w:rsidP="00067A58">
            <w:pPr>
              <w:rPr>
                <w:color w:val="FF0000"/>
              </w:rPr>
            </w:pPr>
            <w:r w:rsidRPr="007B45BE">
              <w:rPr>
                <w:color w:val="FF0000"/>
              </w:rPr>
              <w:t>Kazawa,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6801152A" w:rsidR="00243CEA" w:rsidRDefault="007B45BE" w:rsidP="0000580F">
            <w:r w:rsidRPr="007B45BE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7B45BE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B6BA149" w:rsidR="00C56DF9" w:rsidRDefault="00C0497A" w:rsidP="009004A9">
            <w:r w:rsidRPr="00C0497A">
              <w:rPr>
                <w:rFonts w:eastAsia="Yu Mincho"/>
                <w:color w:val="FF0000"/>
                <w:lang w:eastAsia="ja-JP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B45BE" w14:paraId="2C20D92C" w14:textId="77777777" w:rsidTr="0000580F">
        <w:tc>
          <w:tcPr>
            <w:tcW w:w="4135" w:type="dxa"/>
          </w:tcPr>
          <w:p w14:paraId="49AA8EF5" w14:textId="3D365E30" w:rsidR="007B45BE" w:rsidRDefault="007B45BE" w:rsidP="007B45BE">
            <w:r>
              <w:t>Type of model for mean flow quantities*:</w:t>
            </w:r>
          </w:p>
          <w:p w14:paraId="069E0B65" w14:textId="0AA08754" w:rsidR="007B45BE" w:rsidRDefault="007B45BE" w:rsidP="007B45BE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7F74CD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with Buffer layer non-reflecting treatment</w:t>
            </w:r>
          </w:p>
        </w:tc>
      </w:tr>
      <w:tr w:rsidR="007B45BE" w14:paraId="7B5C72C4" w14:textId="77777777" w:rsidTr="0000580F">
        <w:tc>
          <w:tcPr>
            <w:tcW w:w="4135" w:type="dxa"/>
          </w:tcPr>
          <w:p w14:paraId="02F905D9" w14:textId="69C82297" w:rsidR="007B45BE" w:rsidRDefault="007B45BE" w:rsidP="007B45BE">
            <w:r>
              <w:t>Type of model for turbulence quantities*:</w:t>
            </w:r>
          </w:p>
          <w:p w14:paraId="1F91EEE1" w14:textId="36FDEBCD" w:rsidR="007B45BE" w:rsidRDefault="007B45BE" w:rsidP="007B45BE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46C9A724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(conventional)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32FA46D0" w14:textId="77777777" w:rsidR="007B45BE" w:rsidRPr="007B45BE" w:rsidRDefault="007B45BE" w:rsidP="007B45BE">
            <w:pPr>
              <w:rPr>
                <w:rFonts w:eastAsia="Yu Mincho"/>
                <w:color w:val="FF0000"/>
                <w:lang w:eastAsia="ja-JP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T</w:t>
            </w:r>
            <w:r w:rsidRPr="007B45BE">
              <w:rPr>
                <w:rFonts w:eastAsia="Yu Mincho"/>
                <w:color w:val="FF0000"/>
                <w:lang w:eastAsia="ja-JP"/>
              </w:rPr>
              <w:t>he “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with Buffer layer non-reflecting treatment” is described in the following paper.</w:t>
            </w:r>
          </w:p>
          <w:p w14:paraId="6E3202E7" w14:textId="467B6C82" w:rsidR="00854F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hint="eastAsia"/>
                <w:color w:val="FF0000"/>
                <w:sz w:val="16"/>
                <w:szCs w:val="16"/>
              </w:rPr>
              <w:t>T</w:t>
            </w:r>
            <w:r w:rsidRPr="007B45BE">
              <w:rPr>
                <w:color w:val="FF0000"/>
                <w:sz w:val="16"/>
                <w:szCs w:val="16"/>
              </w:rPr>
              <w:t>ani, N</w:t>
            </w:r>
            <w:r w:rsidRPr="007B45BE">
              <w:rPr>
                <w:rFonts w:hint="eastAsia"/>
                <w:color w:val="FF0000"/>
                <w:sz w:val="16"/>
                <w:szCs w:val="16"/>
              </w:rPr>
              <w:t>.,</w:t>
            </w:r>
            <w:r w:rsidRPr="007B45BE">
              <w:rPr>
                <w:color w:val="FF0000"/>
                <w:sz w:val="16"/>
                <w:szCs w:val="16"/>
              </w:rPr>
              <w:t xml:space="preserve"> Simple Non-Reflecting Mixing-Plane Method for Multi-Stage Turbomachinery CFD with Improved Conservation, Proc</w:t>
            </w:r>
            <w:r w:rsidRPr="007B45BE">
              <w:rPr>
                <w:rFonts w:hint="eastAsia"/>
                <w:color w:val="FF0000"/>
                <w:sz w:val="16"/>
                <w:szCs w:val="16"/>
              </w:rPr>
              <w:t>.</w:t>
            </w:r>
            <w:r w:rsidRPr="007B45BE">
              <w:rPr>
                <w:color w:val="FF0000"/>
                <w:sz w:val="16"/>
                <w:szCs w:val="16"/>
              </w:rPr>
              <w:t xml:space="preserve"> of Asian Joint Conference on Propulsion and Power, 2018</w:t>
            </w:r>
          </w:p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8E6F60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atrix free Gauss-Sidel</w:t>
            </w: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6E85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Y</w:t>
            </w:r>
            <w:r w:rsidRPr="007B45BE">
              <w:rPr>
                <w:rFonts w:eastAsia="Yu Mincho"/>
                <w:color w:val="FF0000"/>
                <w:lang w:eastAsia="ja-JP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B45BE" w14:paraId="07B2FBAD" w14:textId="77777777" w:rsidTr="005D7E25">
        <w:tc>
          <w:tcPr>
            <w:tcW w:w="4675" w:type="dxa"/>
          </w:tcPr>
          <w:p w14:paraId="580C148F" w14:textId="3692C743" w:rsidR="007B45BE" w:rsidRDefault="007B45BE" w:rsidP="007B45BE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EC730D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color w:val="FF0000"/>
              </w:rPr>
              <w:t>uniform inlet at standard conditions</w:t>
            </w:r>
          </w:p>
        </w:tc>
      </w:tr>
      <w:tr w:rsidR="007B45BE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B45BE" w:rsidRDefault="007B45BE" w:rsidP="007B45BE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15FAB40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ascii="Symbol" w:eastAsia="Yu Mincho" w:hAnsi="Symbol"/>
                <w:color w:val="FF0000"/>
                <w:lang w:eastAsia="ja-JP"/>
              </w:rPr>
              <w:t></w:t>
            </w:r>
            <w:r w:rsidRPr="007B45BE">
              <w:rPr>
                <w:rFonts w:eastAsia="Yu Mincho"/>
                <w:color w:val="FF0000"/>
                <w:lang w:eastAsia="ja-JP"/>
              </w:rPr>
              <w:t>t=</w:t>
            </w:r>
            <w:r w:rsidRPr="007B45BE">
              <w:rPr>
                <w:color w:val="FF0000"/>
              </w:rPr>
              <w:t xml:space="preserve"> </w:t>
            </w:r>
            <w:r w:rsidRPr="007B45BE">
              <w:rPr>
                <w:rFonts w:eastAsia="Yu Mincho"/>
                <w:color w:val="FF0000"/>
                <w:lang w:eastAsia="ja-JP"/>
              </w:rPr>
              <w:t>0.00252[Pa s]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E23B954" w:rsidR="002C7D0B" w:rsidRPr="002C7D0B" w:rsidRDefault="007B45BE" w:rsidP="00A82996">
            <w:r w:rsidRPr="007B45BE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C0497A">
        <w:tc>
          <w:tcPr>
            <w:tcW w:w="4148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148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C0497A" w14:paraId="6DD4A25E" w14:textId="77777777" w:rsidTr="00C0497A">
        <w:trPr>
          <w:trHeight w:val="2880"/>
        </w:trPr>
        <w:tc>
          <w:tcPr>
            <w:tcW w:w="4148" w:type="dxa"/>
          </w:tcPr>
          <w:p w14:paraId="5FDDB668" w14:textId="7AE59C10" w:rsidR="00C0497A" w:rsidRPr="00683FB7" w:rsidRDefault="00C0497A" w:rsidP="00C0497A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55A1177C" wp14:editId="200ECBB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0000" cy="1619827"/>
                  <wp:effectExtent l="0" t="0" r="0" b="0"/>
                  <wp:wrapTopAndBottom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</w:tcPr>
          <w:p w14:paraId="57AB9DE1" w14:textId="5274947B" w:rsidR="00C0497A" w:rsidRPr="00683FB7" w:rsidRDefault="00C0497A" w:rsidP="00C0497A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5D7109F9" wp14:editId="549886B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0000" cy="1619827"/>
                  <wp:effectExtent l="0" t="0" r="0" b="0"/>
                  <wp:wrapTopAndBottom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D9FED" w14:textId="77777777" w:rsidR="00CA6E2B" w:rsidRDefault="00CA6E2B" w:rsidP="008F19AF">
      <w:pPr>
        <w:spacing w:after="0" w:line="240" w:lineRule="auto"/>
      </w:pPr>
      <w:r>
        <w:separator/>
      </w:r>
    </w:p>
  </w:endnote>
  <w:endnote w:type="continuationSeparator" w:id="0">
    <w:p w14:paraId="32F97326" w14:textId="77777777" w:rsidR="00CA6E2B" w:rsidRDefault="00CA6E2B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3D9B3" w14:textId="77777777" w:rsidR="00CA6E2B" w:rsidRDefault="00CA6E2B" w:rsidP="008F19AF">
      <w:pPr>
        <w:spacing w:after="0" w:line="240" w:lineRule="auto"/>
      </w:pPr>
      <w:r>
        <w:separator/>
      </w:r>
    </w:p>
  </w:footnote>
  <w:footnote w:type="continuationSeparator" w:id="0">
    <w:p w14:paraId="79CF00C4" w14:textId="77777777" w:rsidR="00CA6E2B" w:rsidRDefault="00CA6E2B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33638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56EDF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A6E2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  <w:style w:type="character" w:styleId="aa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2024-10-08T04:28:00Z</dcterms:created>
  <dcterms:modified xsi:type="dcterms:W3CDTF">2024-10-30T02:33:00Z</dcterms:modified>
</cp:coreProperties>
</file>