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0"/>
        <w:gridCol w:w="7580"/>
        <w:tblGridChange w:id="0">
          <w:tblGrid>
            <w:gridCol w:w="1630"/>
            <w:gridCol w:w="7580"/>
          </w:tblGrid>
        </w:tblGridChange>
      </w:tblGrid>
      <w:tr>
        <w:trPr>
          <w:cantSplit w:val="1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40" w:lineRule="auto"/>
              <w:jc w:val="both"/>
              <w:rPr>
                <w:rFonts w:ascii="CG Omega" w:cs="CG Omega" w:eastAsia="CG Omega" w:hAnsi="CG Omega"/>
                <w:i w:val="1"/>
              </w:rPr>
            </w:pPr>
            <w:r w:rsidDel="00000000" w:rsidR="00000000" w:rsidRPr="00000000">
              <w:rPr>
                <w:rFonts w:ascii="CG Omega" w:cs="CG Omega" w:eastAsia="CG Omega" w:hAnsi="CG Omega"/>
                <w:i w:val="1"/>
                <w:rtl w:val="0"/>
              </w:rPr>
              <w:t xml:space="preserve">Dernière mise à jour de cette fiche : 8 février 2018</w:t>
            </w:r>
          </w:p>
          <w:p w:rsidR="00000000" w:rsidDel="00000000" w:rsidP="00000000" w:rsidRDefault="00000000" w:rsidRPr="00000000" w14:paraId="00000003">
            <w:pPr>
              <w:spacing w:after="60" w:before="60" w:line="240" w:lineRule="auto"/>
              <w:jc w:val="center"/>
              <w:rPr>
                <w:rFonts w:ascii="CG Omega" w:cs="CG Omega" w:eastAsia="CG Omega" w:hAnsi="CG Omega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rFonts w:ascii="CG Omega" w:cs="CG Omega" w:eastAsia="CG Omega" w:hAnsi="CG Omega"/>
                <w:i w:val="1"/>
              </w:rPr>
            </w:pPr>
            <w:r w:rsidDel="00000000" w:rsidR="00000000" w:rsidRPr="00000000">
              <w:rPr>
                <w:rFonts w:ascii="CG Omega" w:cs="CG Omega" w:eastAsia="CG Omega" w:hAnsi="CG Omega"/>
                <w:i w:val="1"/>
                <w:rtl w:val="0"/>
              </w:rPr>
              <w:t xml:space="preserve">02/02/2021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ind w:right="283"/>
              <w:jc w:val="both"/>
              <w:rPr>
                <w:rFonts w:ascii="CG Omega" w:cs="CG Omega" w:eastAsia="CG Omega" w:hAnsi="CG Omega"/>
                <w:i w:val="1"/>
              </w:rPr>
            </w:pPr>
            <w:r w:rsidDel="00000000" w:rsidR="00000000" w:rsidRPr="00000000">
              <w:rPr>
                <w:rFonts w:ascii="CG Omega" w:cs="CG Omega" w:eastAsia="CG Omega" w:hAnsi="CG Omega"/>
                <w:i w:val="1"/>
                <w:rtl w:val="0"/>
              </w:rPr>
              <w:t xml:space="preserve">Mise à jour des liens de la documentation juridique consécutive à une migration du site Légifrance</w:t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rPr>
          <w:rFonts w:ascii="CG Omega" w:cs="CG Omega" w:eastAsia="CG Omega" w:hAnsi="CG Omega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G Omega" w:cs="CG Omega" w:eastAsia="CG Omega" w:hAnsi="CG Omega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G Omega" w:cs="CG Omega" w:eastAsia="CG Omega" w:hAnsi="CG Omega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G Omega" w:cs="CG Omega" w:eastAsia="CG Omega" w:hAnsi="CG Omega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G Omega" w:cs="CG Omega" w:eastAsia="CG Omega" w:hAnsi="CG Omega"/>
          <w:b w:val="1"/>
          <w:smallCaps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line="240" w:lineRule="auto"/>
        <w:jc w:val="center"/>
        <w:rPr>
          <w:vertAlign w:val="baseline"/>
        </w:rPr>
      </w:pPr>
      <w:bookmarkStart w:colFirst="0" w:colLast="0" w:name="_heading=h.ucj9m0mc08h9" w:id="0"/>
      <w:bookmarkEnd w:id="0"/>
      <w:r w:rsidDel="00000000" w:rsidR="00000000" w:rsidRPr="00000000">
        <w:rPr>
          <w:vertAlign w:val="baseline"/>
          <w:rtl w:val="0"/>
        </w:rPr>
        <w:t xml:space="preserve">EPARGNE-LOGEMENT : PRÉSENTATION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ind w:left="431"/>
        <w:rPr/>
      </w:pPr>
      <w:bookmarkStart w:colFirst="0" w:colLast="0" w:name="_heading=h.vpqjjhm3god9" w:id="1"/>
      <w:bookmarkEnd w:id="1"/>
      <w:r w:rsidDel="00000000" w:rsidR="00000000" w:rsidRPr="00000000">
        <w:rPr>
          <w:rtl w:val="0"/>
        </w:rPr>
        <w:t xml:space="preserve">Définition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L’épargne-logement est un dispositif en deux temps. A l’issue d’une phase d’épargne, comportant des versements ponctuels ou réguliers sur un compte d’épargne-logement (CEL) ou réguliers sur un plan d’épargne-logement (PEL), il est possible d’obtenir un prêt d’épargne-logement, qui est un prêt réglementé et contractuel accordé aux personnes physiques finançant l’acquisition d’un bien immobilier et/ou le financement de travaux immobiliers. La réalisation de ce prêt est, sous certaines conditions, assortie du versement d’une prime d’Etat.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 est accordé aux personnes physiques qui affectent cette épargne au financement de logements destinés à l’habitation principale ou bien au financement de locaux à usage commercial ou professionnel dès lors qu’ils comportent l’habitation principale du bénéficiaire (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CCH, art. L. 315-1, al. 1</w:t>
        </w:r>
      </w:hyperlink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ind w:left="431"/>
        <w:rPr/>
      </w:pPr>
      <w:bookmarkStart w:colFirst="0" w:colLast="0" w:name="_heading=h.93va8o1cedzs" w:id="3"/>
      <w:bookmarkEnd w:id="3"/>
      <w:r w:rsidDel="00000000" w:rsidR="00000000" w:rsidRPr="00000000">
        <w:rPr>
          <w:rtl w:val="0"/>
        </w:rPr>
        <w:t xml:space="preserve">Mécanisme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régime de l’épargne-logement recouvre deux mécanismes, celui des comptes d’épargne-logement et celui des plans d’épargne-logement 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compte d’épargne-logement (CEL) également appelé livret d’épargne-logement est caractérisé par la liberté des dépôts et des retraits sous réserve de respecter un solde minimum fixé par arrêté. Il est sans limite de durée.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plan d’épargne-logement (PEL) est un contrat caractérisé par l’engagement d’effectuer des versements réguliers, d’un montant minimum entre deux dates anniversaire, et de respecter un délai d’indisponibilité minimum. Sa durée est limitée.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2"/>
        </w:numPr>
        <w:ind w:left="431"/>
        <w:rPr/>
      </w:pPr>
      <w:bookmarkStart w:colFirst="0" w:colLast="0" w:name="_heading=h.1v6lbms69ejr" w:id="4"/>
      <w:bookmarkEnd w:id="4"/>
      <w:r w:rsidDel="00000000" w:rsidR="00000000" w:rsidRPr="00000000">
        <w:rPr>
          <w:rtl w:val="0"/>
        </w:rPr>
        <w:t xml:space="preserve">Règlementation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régime de l’épargne-logement est régi par les articles </w:t>
      </w:r>
      <w:hyperlink r:id="rId8">
        <w:r w:rsidDel="00000000" w:rsidR="00000000" w:rsidRPr="00000000">
          <w:rPr>
            <w:rFonts w:ascii="CG Omega" w:cs="CG Omega" w:eastAsia="CG Omega" w:hAnsi="CG Omeg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L. 315-1 à L. 315-6</w:t>
        </w:r>
      </w:hyperlink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 code de la construction et de l’habitation (CCH).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caractéristiques de la phase d’épargne et de prêt applicables aux CEL sont réglementées par les articles </w:t>
      </w:r>
      <w:hyperlink r:id="rId9">
        <w:r w:rsidDel="00000000" w:rsidR="00000000" w:rsidRPr="00000000">
          <w:rPr>
            <w:rFonts w:ascii="CG Omega" w:cs="CG Omega" w:eastAsia="CG Omega" w:hAnsi="CG Omeg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R. 315-1 à R. 315-22</w:t>
        </w:r>
      </w:hyperlink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celles relatives aux PEL le sont par les articles </w:t>
      </w:r>
      <w:hyperlink r:id="rId10">
        <w:r w:rsidDel="00000000" w:rsidR="00000000" w:rsidRPr="00000000">
          <w:rPr>
            <w:rFonts w:ascii="CG Omega" w:cs="CG Omega" w:eastAsia="CG Omega" w:hAnsi="CG Omeg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R. 315-24 à R.  315-42</w:t>
        </w:r>
      </w:hyperlink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 CCH.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Selon l’article </w:t>
      </w:r>
      <w:hyperlink r:id="rId11">
        <w:r w:rsidDel="00000000" w:rsidR="00000000" w:rsidRPr="00000000">
          <w:rPr>
            <w:rFonts w:ascii="CG Omega" w:cs="CG Omega" w:eastAsia="CG Omega" w:hAnsi="CG Omeg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R. 315-41</w:t>
        </w:r>
      </w:hyperlink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les dispositions des CEL sont applicables aux PEL sauf dérogation par disposition spécifique.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le 1</w:t>
      </w: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janvier 2014, le suivi réglementaire et statistique ainsi que le contrôle des opérations relatives au régime de l’épargne-logement sont confiés à la Société de Gestion des financements et de la  Garantie de l’Accession Sociale à la propriété (</w:t>
      </w:r>
      <w:hyperlink r:id="rId12">
        <w:r w:rsidDel="00000000" w:rsidR="00000000" w:rsidRPr="00000000">
          <w:rPr>
            <w:rFonts w:ascii="CG Omega" w:cs="CG Omega" w:eastAsia="CG Omega" w:hAnsi="CG Omega"/>
            <w:b w:val="0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CCH, art. L. 315-5-1</w:t>
        </w:r>
      </w:hyperlink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2"/>
        </w:numPr>
        <w:ind w:left="431"/>
        <w:rPr/>
      </w:pPr>
      <w:bookmarkStart w:colFirst="0" w:colLast="0" w:name="_heading=h.1bdpgbb5xgtr" w:id="5"/>
      <w:bookmarkEnd w:id="5"/>
      <w:r w:rsidDel="00000000" w:rsidR="00000000" w:rsidRPr="00000000">
        <w:rPr>
          <w:rtl w:val="0"/>
        </w:rPr>
        <w:t xml:space="preserve">Champ d’application territorial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régime de l’épargne-logement est applicable en France métropolitaine et dans les DOM, y compris Mayotte (</w:t>
      </w:r>
      <w:hyperlink r:id="rId13">
        <w:r w:rsidDel="00000000" w:rsidR="00000000" w:rsidRPr="00000000">
          <w:rPr>
            <w:rFonts w:ascii="CG Omega" w:cs="CG Omega" w:eastAsia="CG Omega" w:hAnsi="CG Omega"/>
            <w:b w:val="0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Ord. n° 2004-937 du 2 septembre 2004</w:t>
        </w:r>
      </w:hyperlink>
      <w:r w:rsidDel="00000000" w:rsidR="00000000" w:rsidRPr="00000000">
        <w:rPr>
          <w:rFonts w:ascii="CG Omega" w:cs="CG Omega" w:eastAsia="CG Omega" w:hAnsi="CG Omeg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ainsi qu’à Saint-Pierre-et-Miquelon (</w:t>
      </w:r>
      <w:hyperlink r:id="rId14">
        <w:r w:rsidDel="00000000" w:rsidR="00000000" w:rsidRPr="00000000">
          <w:rPr>
            <w:rFonts w:ascii="CG Omega" w:cs="CG Omega" w:eastAsia="CG Omega" w:hAnsi="CG Omega"/>
            <w:b w:val="0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Décr. n° 95-331 du 27 mars 1995</w:t>
        </w:r>
      </w:hyperlink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en Nouvelle-Calédonie et en Polynésie Française (</w:t>
      </w:r>
      <w:hyperlink r:id="rId15">
        <w:r w:rsidDel="00000000" w:rsidR="00000000" w:rsidRPr="00000000">
          <w:rPr>
            <w:rFonts w:ascii="CG Omega" w:cs="CG Omega" w:eastAsia="CG Omega" w:hAnsi="CG Omega"/>
            <w:b w:val="0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Décr. n° 2001-383 du 3 mai 2001</w:t>
        </w:r>
      </w:hyperlink>
      <w:r w:rsidDel="00000000" w:rsidR="00000000" w:rsidRPr="00000000">
        <w:rPr>
          <w:rFonts w:ascii="CG Omega" w:cs="CG Omega" w:eastAsia="CG Omega" w:hAnsi="CG Omeg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2"/>
        </w:numPr>
        <w:ind w:left="431"/>
        <w:rPr/>
      </w:pPr>
      <w:bookmarkStart w:colFirst="0" w:colLast="0" w:name="_heading=h.gss1o01ej7l3" w:id="6"/>
      <w:bookmarkEnd w:id="6"/>
      <w:r w:rsidDel="00000000" w:rsidR="00000000" w:rsidRPr="00000000">
        <w:rPr>
          <w:rtl w:val="0"/>
        </w:rPr>
        <w:t xml:space="preserve">Etablissements habilités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dépôts d’épargne-logement sont reçus par les caisses d’épargne ordinaires ainsi que les banques qui s’engagent par convention avec l’Etat à appliquer les règles fixées pour le fonctionnement de l’épargne-logement (</w:t>
      </w:r>
      <w:hyperlink r:id="rId16">
        <w:r w:rsidDel="00000000" w:rsidR="00000000" w:rsidRPr="00000000">
          <w:rPr>
            <w:rFonts w:ascii="CG Omega" w:cs="CG Omega" w:eastAsia="CG Omega" w:hAnsi="CG Omega"/>
            <w:b w:val="0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CCH, art. L. 315-3</w:t>
        </w:r>
      </w:hyperlink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L’Etat a accordé par convention une habilitation générale à des banques et réseaux bancaires pour la gestion des produits d’épargne-logement (au 1</w:t>
      </w: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CG Omega" w:cs="CG Omega" w:eastAsia="CG Omega" w:hAnsi="CG Omeg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juillet 2014 on recense 76 conventions en vigueur).</w:t>
      </w:r>
    </w:p>
    <w:sectPr>
      <w:headerReference r:id="rId17" w:type="default"/>
      <w:footerReference r:id="rId1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CG Omeg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G Omega" w:cs="CG Omega" w:eastAsia="CG Omega" w:hAnsi="CG Omeg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G Omega" w:cs="CG Omega" w:eastAsia="CG Omega" w:hAnsi="CG Omeg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G Omega" w:cs="CG Omega" w:eastAsia="CG Omega" w:hAnsi="CG Omega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G Omega" w:cs="CG Omega" w:eastAsia="CG Omega" w:hAnsi="CG Omega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Epargne-logement : présentation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G Omega" w:cs="CG Omega" w:eastAsia="CG Omega" w:hAnsi="CG Omeg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G Omega" w:cs="CG Omega" w:eastAsia="CG Omega" w:hAnsi="CG Omeg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Février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69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spacing w:after="120" w:before="120" w:line="240" w:lineRule="auto"/>
    </w:pPr>
    <w:rPr>
      <w:rFonts w:ascii="CG Omega" w:cs="CG Omega" w:eastAsia="CG Omega" w:hAnsi="CG Omega"/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Titre2"/>
    <w:next w:val="Normal"/>
    <w:link w:val="Titre1Car"/>
    <w:qFormat w:val="1"/>
    <w:rsid w:val="00D57E57"/>
    <w:pPr>
      <w:keepLines w:val="0"/>
      <w:spacing w:after="120" w:before="120" w:line="240" w:lineRule="auto"/>
      <w:outlineLvl w:val="0"/>
    </w:pPr>
    <w:rPr>
      <w:rFonts w:ascii="CG Omega" w:cs="Arial" w:eastAsia="Times New Roman" w:hAnsi="CG Omega"/>
      <w:iCs w:val="1"/>
      <w:smallCaps w:val="1"/>
      <w:color w:val="auto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D57E57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ansinterligne">
    <w:name w:val="No Spacing"/>
    <w:uiPriority w:val="1"/>
    <w:qFormat w:val="1"/>
    <w:rsid w:val="0047434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 w:val="1"/>
    <w:rsid w:val="00474343"/>
    <w:pPr>
      <w:ind w:left="720"/>
      <w:contextualSpacing w:val="1"/>
    </w:pPr>
  </w:style>
  <w:style w:type="paragraph" w:styleId="En-tte">
    <w:name w:val="header"/>
    <w:basedOn w:val="Normal"/>
    <w:link w:val="En-tteCar"/>
    <w:uiPriority w:val="99"/>
    <w:unhideWhenUsed w:val="1"/>
    <w:rsid w:val="00902F1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02F13"/>
  </w:style>
  <w:style w:type="paragraph" w:styleId="Pieddepage">
    <w:name w:val="footer"/>
    <w:basedOn w:val="Normal"/>
    <w:link w:val="PieddepageCar"/>
    <w:uiPriority w:val="99"/>
    <w:unhideWhenUsed w:val="1"/>
    <w:rsid w:val="00902F1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02F13"/>
  </w:style>
  <w:style w:type="character" w:styleId="Marquedecommentaire">
    <w:name w:val="annotation reference"/>
    <w:basedOn w:val="Policepardfaut"/>
    <w:uiPriority w:val="99"/>
    <w:semiHidden w:val="1"/>
    <w:unhideWhenUsed w:val="1"/>
    <w:rsid w:val="003130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 w:val="1"/>
    <w:rsid w:val="00313051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rsid w:val="003130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 w:val="1"/>
    <w:unhideWhenUsed w:val="1"/>
    <w:rsid w:val="00313051"/>
    <w:rPr>
      <w:b w:val="1"/>
      <w:bCs w:val="1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 w:val="1"/>
    <w:rsid w:val="00313051"/>
    <w:rPr>
      <w:b w:val="1"/>
      <w:bCs w:val="1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31305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313051"/>
    <w:rPr>
      <w:rFonts w:ascii="Tahoma" w:cs="Tahoma" w:hAnsi="Tahoma"/>
      <w:sz w:val="16"/>
      <w:szCs w:val="16"/>
    </w:rPr>
  </w:style>
  <w:style w:type="character" w:styleId="Lienhypertexte">
    <w:name w:val="Hyperlink"/>
    <w:basedOn w:val="Policepardfaut"/>
    <w:uiPriority w:val="99"/>
    <w:unhideWhenUsed w:val="1"/>
    <w:rsid w:val="00E15EF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D15AE7"/>
    <w:rPr>
      <w:color w:val="800080" w:themeColor="followedHyperlink"/>
      <w:u w:val="single"/>
    </w:rPr>
  </w:style>
  <w:style w:type="paragraph" w:styleId="Rvision">
    <w:name w:val="Revision"/>
    <w:hidden w:val="1"/>
    <w:uiPriority w:val="99"/>
    <w:semiHidden w:val="1"/>
    <w:rsid w:val="000B047C"/>
    <w:pPr>
      <w:spacing w:after="0" w:line="240" w:lineRule="auto"/>
    </w:pPr>
  </w:style>
  <w:style w:type="character" w:styleId="Titre1Car" w:customStyle="1">
    <w:name w:val="Titre 1 Car"/>
    <w:basedOn w:val="Policepardfaut"/>
    <w:link w:val="Titre1"/>
    <w:rsid w:val="00D57E57"/>
    <w:rPr>
      <w:rFonts w:ascii="CG Omega" w:cs="Arial" w:eastAsia="Times New Roman" w:hAnsi="CG Omega"/>
      <w:b w:val="1"/>
      <w:bCs w:val="1"/>
      <w:iCs w:val="1"/>
      <w:smallCaps w:val="1"/>
      <w:sz w:val="24"/>
      <w:szCs w:val="28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D57E5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egifrance.gouv.fr/affichCodeArticle.do;jsessionid=7856BBE79831D6872017D3101E512F83.tpdila20v_3?idArticle=LEGIARTI000006897029&amp;cidTexte=LEGITEXT000006074096&amp;dateTexte=20150908&amp;categorieLien=id&amp;oldAction=&amp;nbResultRech=" TargetMode="External"/><Relationship Id="rId10" Type="http://schemas.openxmlformats.org/officeDocument/2006/relationships/hyperlink" Target="http://legifrance.gouv.fr/affichCode.do?idSectionTA=LEGISCTA000006177513&amp;cidTexte=LEGITEXT000006074096&amp;dateTexte=20150908" TargetMode="External"/><Relationship Id="rId13" Type="http://schemas.openxmlformats.org/officeDocument/2006/relationships/hyperlink" Target="https://www.legifrance.gouv.fr/loda/id/JORFTEXT000000806460/2021-01-21/" TargetMode="External"/><Relationship Id="rId12" Type="http://schemas.openxmlformats.org/officeDocument/2006/relationships/hyperlink" Target="http://www.legifrance.gouv.fr/affichCodeArticle.do;jsessionid=515335115BC8F367D4DE6F7C33E4E621.tpdjo06v_1?cidTexte=LEGITEXT000006074096&amp;idArticle=LEGIARTI000028412322&amp;dateTexte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egifrance.gouv.fr/affichCode.do?idSectionTA=LEGISCTA000006189231&amp;cidTexte=LEGITEXT000006074096&amp;dateTexte=20150908" TargetMode="External"/><Relationship Id="rId15" Type="http://schemas.openxmlformats.org/officeDocument/2006/relationships/hyperlink" Target="https://www.legifrance.gouv.fr/loda/id/JORFTEXT000000405577/2021-01-21/" TargetMode="External"/><Relationship Id="rId14" Type="http://schemas.openxmlformats.org/officeDocument/2006/relationships/hyperlink" Target="http://www.legifrance.gouv.fr/affichTexte.do?cidTexte=LEGITEXT000005618141&amp;dateTexte=20090801" TargetMode="External"/><Relationship Id="rId17" Type="http://schemas.openxmlformats.org/officeDocument/2006/relationships/header" Target="header1.xml"/><Relationship Id="rId16" Type="http://schemas.openxmlformats.org/officeDocument/2006/relationships/hyperlink" Target="http://www.legifrance.gouv.fr/affichCodeArticle.do;?idArticle=LEGIARTI000006825082&amp;cidTexte=LEGITEXT000006074096&amp;dateTexte=2014071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://www.legifrance.gouv.fr/affichCodeArticle.do?cidTexte=LEGITEXT000006074096&amp;idArticle=LEGIARTI000006825071&amp;dateTexte=&amp;categorieLien=cid" TargetMode="External"/><Relationship Id="rId8" Type="http://schemas.openxmlformats.org/officeDocument/2006/relationships/hyperlink" Target="http://www.legifrance.gouv.fr/affichCode.do;?idSectionTA=LEGISCTA000006176368&amp;cidTexte=LEGITEXT000006074096&amp;dateTexte=2015090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VlaaMoomWVOsitdziSxt5ygsrQ==">CgMxLjAyDmgudWNqOW0wbWMwOGg5Mg5oLnZwcWpqaG0zZ29kOTIIaC5namRneHMyDmguOTN2YThvMWNlZHpzMg5oLjF2NmxibXM2OWVqcjIOaC4xYmRwZ2JiNXhndHIyDmguZ3NzMW8wMWVqN2wzOAByITE1ZUx3VHhsWFE4SS14dTNfYWpyeUtoX3p1WnkwZjhYbg==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2021-02-02T08:47:00Z</dcterms:created>
  <dc:creator>Nicolas ROSE</dc:creator>
</cp:coreProperties>
</file>