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480"/>
        <w:jc w:val="center"/>
      </w:pPr>
      <w:r>
        <w:rPr>
          <w:rFonts w:ascii="Georgia" w:cs="Georgia" w:eastAsia="Georgia" w:hAnsi="Georgia"/>
          <w:b/>
          <w:bCs/>
          <w:color w:val="3B3A30"/>
          <w:sz w:val="48"/>
          <w:szCs w:val="48"/>
        </w:rPr>
        <w:t xml:space="preserve">Competitive Research</w:t>
      </w:r>
    </w:p>
    <w:p>
      <w:pPr>
        <w:spacing w:after="120" w:before="0"/>
        <w:jc w:val="center"/>
      </w:pPr>
      <w:r>
        <w:rPr>
          <w:rFonts w:ascii="Georgia" w:cs="Georgia" w:eastAsia="Georgia" w:hAnsi="Georgia"/>
          <w:i/>
          <w:iCs/>
          <w:color w:val="A0522D"/>
          <w:sz w:val="32"/>
          <w:szCs w:val="32"/>
        </w:rPr>
        <w:t xml:space="preserve">The Soft Power Collective</w:t>
      </w:r>
    </w:p>
    <w:p>
      <w:pPr>
        <w:spacing w:after="480" w:before="0"/>
        <w:jc w:val="center"/>
      </w:pPr>
      <w:r>
        <w:rPr>
          <w:i/>
          <w:iCs/>
          <w:color w:val="666666"/>
          <w:sz w:val="20"/>
          <w:szCs w:val="20"/>
        </w:rPr>
        <w:t xml:space="preserve">Field scan of peer educators, studios, and communities in the kink-positive, conscious-relationships, and female-led intimacy education space.</w:t>
      </w:r>
    </w:p>
    <w:p>
      <w:pPr>
        <w:spacing w:after="600" w:before="0"/>
        <w:jc w:val="center"/>
      </w:pPr>
      <w:r>
        <w:rPr>
          <w:color w:val="666666"/>
          <w:sz w:val="18"/>
          <w:szCs w:val="18"/>
        </w:rPr>
        <w:t xml:space="preserve">Research conducted April 2026   •   Prepared for Casey Lynn</w:t>
      </w:r>
    </w:p>
    <w:p>
      <w:pPr>
        <w:pBdr>
          <w:bottom w:val="single" w:color="6B7B5E" w:sz="6" w:space="1"/>
        </w:pBdr>
        <w:spacing w:after="360" w:before="360"/>
      </w:pPr>
      <w:r>
        <w:t xml:space="preserve"/>
      </w:r>
    </w:p>
    <w:p>
      <w:pPr>
        <w:pStyle w:val="Heading1"/>
        <w:spacing w:after="240" w:before="480"/>
      </w:pPr>
      <w:r>
        <w:rPr>
          <w:rFonts w:ascii="Georgia" w:cs="Georgia" w:eastAsia="Georgia" w:hAnsi="Georgia"/>
          <w:b/>
          <w:bCs/>
          <w:color w:val="3B3A30"/>
          <w:sz w:val="36"/>
          <w:szCs w:val="36"/>
        </w:rPr>
        <w:t xml:space="preserve">Primary Target: Bound Studio</w:t>
      </w:r>
    </w:p>
    <w:p>
      <w:pPr>
        <w:spacing w:after="120" w:before="120" w:line="320"/>
      </w:pPr>
      <w:r>
        <w:rPr>
          <w:sz w:val="22"/>
          <w:szCs w:val="22"/>
        </w:rPr>
        <w:t xml:space="preserve">Bound Studio (Lancaster) positions itself as a professional, relationship-focused shibari and rope studio — not a dungeon, not underground. Their framing leans explicitly toward "intimacy" and "connection" rather than "kink," which is strategic and worth noting.</w:t>
      </w:r>
    </w:p>
    <w:p>
      <w:pPr>
        <w:pStyle w:val="Heading3"/>
        <w:spacing w:after="120" w:before="240"/>
      </w:pPr>
      <w:r>
        <w:rPr>
          <w:rFonts w:ascii="Georgia" w:cs="Georgia" w:eastAsia="Georgia" w:hAnsi="Georgia"/>
          <w:b/>
          <w:bCs/>
          <w:color w:val="3B3A30"/>
          <w:sz w:val="24"/>
          <w:szCs w:val="24"/>
        </w:rPr>
        <w:t xml:space="preserve">What they do well</w:t>
      </w:r>
    </w:p>
    <w:p>
      <w:pPr>
        <w:pStyle w:val="ListParagraph"/>
        <w:numPr>
          <w:ilvl w:val="0"/>
          <w:numId w:val="2"/>
        </w:numPr>
        <w:spacing w:after="80" w:before="80" w:line="300"/>
      </w:pPr>
      <w:r>
        <w:rPr>
          <w:sz w:val="22"/>
          <w:szCs w:val="22"/>
        </w:rPr>
        <w:t xml:space="preserve">Use language like "Discover intimacy," "deepen bonds," "explore together" — relational, not transactional</w:t>
      </w:r>
    </w:p>
    <w:p>
      <w:pPr>
        <w:pStyle w:val="ListParagraph"/>
        <w:numPr>
          <w:ilvl w:val="0"/>
          <w:numId w:val="2"/>
        </w:numPr>
        <w:spacing w:after="80" w:before="80" w:line="300"/>
      </w:pPr>
      <w:r>
        <w:rPr>
          <w:sz w:val="22"/>
          <w:szCs w:val="22"/>
        </w:rPr>
        <w:t xml:space="preserve">Educators are described with professional credentialing language (years teaching, method lineage)</w:t>
      </w:r>
    </w:p>
    <w:p>
      <w:pPr>
        <w:pStyle w:val="ListParagraph"/>
        <w:numPr>
          <w:ilvl w:val="0"/>
          <w:numId w:val="2"/>
        </w:numPr>
        <w:spacing w:after="80" w:before="80" w:line="300"/>
      </w:pPr>
      <w:r>
        <w:rPr>
          <w:sz w:val="22"/>
          <w:szCs w:val="22"/>
        </w:rPr>
        <w:t xml:space="preserve">Small-group format is positioned as a feature (safety, attention), not a limitation</w:t>
      </w:r>
    </w:p>
    <w:p>
      <w:pPr>
        <w:pStyle w:val="ListParagraph"/>
        <w:numPr>
          <w:ilvl w:val="0"/>
          <w:numId w:val="2"/>
        </w:numPr>
        <w:spacing w:after="80" w:before="80" w:line="300"/>
      </w:pPr>
      <w:r>
        <w:rPr>
          <w:sz w:val="22"/>
          <w:szCs w:val="22"/>
        </w:rPr>
        <w:t xml:space="preserve">Photography is clean, modelled, softly lit — aspirational without being explicit</w:t>
      </w:r>
    </w:p>
    <w:p>
      <w:pPr>
        <w:pStyle w:val="ListParagraph"/>
        <w:numPr>
          <w:ilvl w:val="0"/>
          <w:numId w:val="2"/>
        </w:numPr>
        <w:spacing w:after="80" w:before="80" w:line="300"/>
      </w:pPr>
      <w:r>
        <w:rPr>
          <w:sz w:val="22"/>
          <w:szCs w:val="22"/>
        </w:rPr>
        <w:t xml:space="preserve">Couples are an obvious target audience, which broadens appeal beyond the typical single-practitioner market</w:t>
      </w:r>
    </w:p>
    <w:p>
      <w:pPr>
        <w:pStyle w:val="Heading3"/>
        <w:spacing w:after="120" w:before="240"/>
      </w:pPr>
      <w:r>
        <w:rPr>
          <w:rFonts w:ascii="Georgia" w:cs="Georgia" w:eastAsia="Georgia" w:hAnsi="Georgia"/>
          <w:b/>
          <w:bCs/>
          <w:color w:val="3B3A30"/>
          <w:sz w:val="24"/>
          <w:szCs w:val="24"/>
        </w:rPr>
        <w:t xml:space="preserve">What to steal</w:t>
      </w:r>
    </w:p>
    <w:p>
      <w:pPr>
        <w:pStyle w:val="ListParagraph"/>
        <w:numPr>
          <w:ilvl w:val="0"/>
          <w:numId w:val="2"/>
        </w:numPr>
        <w:spacing w:after="80" w:before="80" w:line="300"/>
      </w:pPr>
      <w:r>
        <w:rPr>
          <w:sz w:val="22"/>
          <w:szCs w:val="22"/>
        </w:rPr>
        <w:t xml:space="preserve">The move from "kink" to "intimacy" as the primary noun is savvy — it lowers the barrier for new visitors</w:t>
      </w:r>
    </w:p>
    <w:p>
      <w:pPr>
        <w:pStyle w:val="ListParagraph"/>
        <w:numPr>
          <w:ilvl w:val="0"/>
          <w:numId w:val="2"/>
        </w:numPr>
        <w:spacing w:after="80" w:before="80" w:line="300"/>
      </w:pPr>
      <w:r>
        <w:rPr>
          <w:sz w:val="22"/>
          <w:szCs w:val="22"/>
        </w:rPr>
        <w:t xml:space="preserve">Educator-centered marketing ("Learn from [Name]") creates magnetism</w:t>
      </w:r>
    </w:p>
    <w:p>
      <w:pPr>
        <w:pStyle w:val="ListParagraph"/>
        <w:numPr>
          <w:ilvl w:val="0"/>
          <w:numId w:val="2"/>
        </w:numPr>
        <w:spacing w:after="80" w:before="80" w:line="300"/>
      </w:pPr>
      <w:r>
        <w:rPr>
          <w:sz w:val="22"/>
          <w:szCs w:val="22"/>
        </w:rPr>
        <w:t xml:space="preserve">Workshops framed as experiences people have together, not skills they acquire alone</w:t>
      </w:r>
    </w:p>
    <w:p>
      <w:pPr>
        <w:pBdr>
          <w:bottom w:val="single" w:color="6B7B5E" w:sz="6" w:space="1"/>
        </w:pBdr>
        <w:spacing w:after="360" w:before="360"/>
      </w:pPr>
      <w:r>
        <w:t xml:space="preserve"/>
      </w:r>
    </w:p>
    <w:p>
      <w:pPr>
        <w:pStyle w:val="Heading1"/>
        <w:spacing w:after="240" w:before="480"/>
      </w:pPr>
      <w:r>
        <w:rPr>
          <w:rFonts w:ascii="Georgia" w:cs="Georgia" w:eastAsia="Georgia" w:hAnsi="Georgia"/>
          <w:b/>
          <w:bCs/>
          <w:color w:val="3B3A30"/>
          <w:sz w:val="36"/>
          <w:szCs w:val="36"/>
        </w:rPr>
        <w:t xml:space="preserve">The Field: Female-Led Peers Worth Watching</w:t>
      </w:r>
    </w:p>
    <w:p>
      <w:pPr>
        <w:pStyle w:val="Heading2"/>
        <w:spacing w:after="180" w:before="360"/>
      </w:pPr>
      <w:r>
        <w:rPr>
          <w:rFonts w:ascii="Georgia" w:cs="Georgia" w:eastAsia="Georgia" w:hAnsi="Georgia"/>
          <w:b/>
          <w:bCs/>
          <w:color w:val="A0522D"/>
          <w:sz w:val="28"/>
          <w:szCs w:val="28"/>
        </w:rPr>
        <w:t xml:space="preserve">Kasia Urbaniak — The Academy</w:t>
      </w:r>
    </w:p>
    <w:p>
      <w:pPr>
        <w:spacing w:after="120" w:before="120" w:line="320"/>
      </w:pPr>
      <w:r>
        <w:rPr>
          <w:sz w:val="22"/>
          <w:szCs w:val="22"/>
        </w:rPr>
        <w:t xml:space="preserve">Former dominatrix, now runs The Academy. Owns the "women + power" lane entirely. Her copy uses words like "reclaim," "conditioning," and "the Good Girl" — framing personal liberation as political. Visual identity is stark white with bold serif typography. Serious, academic feel. Pulls in women who'd never call themselves "kinky" but want agency.</w:t>
      </w:r>
    </w:p>
    <w:p>
      <w:pPr>
        <w:pStyle w:val="Heading2"/>
        <w:spacing w:after="180" w:before="360"/>
      </w:pPr>
      <w:r>
        <w:rPr>
          <w:rFonts w:ascii="Georgia" w:cs="Georgia" w:eastAsia="Georgia" w:hAnsi="Georgia"/>
          <w:b/>
          <w:bCs/>
          <w:color w:val="A0522D"/>
          <w:sz w:val="28"/>
          <w:szCs w:val="28"/>
        </w:rPr>
        <w:t xml:space="preserve">Midori / ForteFemme</w:t>
      </w:r>
    </w:p>
    <w:p>
      <w:pPr>
        <w:spacing w:after="120" w:before="120" w:line="320"/>
      </w:pPr>
      <w:r>
        <w:rPr>
          <w:sz w:val="22"/>
          <w:szCs w:val="22"/>
        </w:rPr>
        <w:t xml:space="preserve">The original female dominance educator. Runs 9-person intensives. Uses "Head-Heart-Hands" as her pedagogical frame. Copy is elegant and practical, never spiritualized. Emphasizes mentorship and lineage. Deliberately small. She's proof that scarcity + elite mentorship positioning works in this space.</w:t>
      </w:r>
    </w:p>
    <w:p>
      <w:pPr>
        <w:pStyle w:val="Heading2"/>
        <w:spacing w:after="180" w:before="360"/>
      </w:pPr>
      <w:r>
        <w:rPr>
          <w:rFonts w:ascii="Georgia" w:cs="Georgia" w:eastAsia="Georgia" w:hAnsi="Georgia"/>
          <w:b/>
          <w:bCs/>
          <w:color w:val="A0522D"/>
          <w:sz w:val="28"/>
          <w:szCs w:val="28"/>
        </w:rPr>
        <w:t xml:space="preserve">Layla Martin</w:t>
      </w:r>
    </w:p>
    <w:p>
      <w:pPr>
        <w:spacing w:after="120" w:before="120" w:line="320"/>
      </w:pPr>
      <w:r>
        <w:rPr>
          <w:sz w:val="22"/>
          <w:szCs w:val="22"/>
        </w:rPr>
        <w:t xml:space="preserve">Mainstream tantra/pleasure. "VITA Method." Dominates spiritual-sensual Instagram. Copy uses "ignite," "awaken," "sacred," "pleasure," "magnetic." Lush brand photography with flowing fabric, candles, rose petals. Her funnel is enormous — free masterclass to low-ticket offer to high-ticket program. Very polished. Maybe too polished for SPC's intended tone, but the funnel architecture is instructive.</w:t>
      </w:r>
    </w:p>
    <w:p>
      <w:pPr>
        <w:pStyle w:val="Heading2"/>
        <w:spacing w:after="180" w:before="360"/>
      </w:pPr>
      <w:r>
        <w:rPr>
          <w:rFonts w:ascii="Georgia" w:cs="Georgia" w:eastAsia="Georgia" w:hAnsi="Georgia"/>
          <w:b/>
          <w:bCs/>
          <w:color w:val="A0522D"/>
          <w:sz w:val="28"/>
          <w:szCs w:val="28"/>
        </w:rPr>
        <w:t xml:space="preserve">Jessica Fern</w:t>
      </w:r>
    </w:p>
    <w:p>
      <w:pPr>
        <w:spacing w:after="120" w:before="120" w:line="320"/>
      </w:pPr>
      <w:r>
        <w:rPr>
          <w:sz w:val="22"/>
          <w:szCs w:val="22"/>
        </w:rPr>
        <w:t xml:space="preserve">Author of Polysecure. Owns the attachment theory + non-monogamy intersection. Copy is warm and therapeutic ("secure," "navigating," "integrating"). Positioned as a psychotherapist first, a polyamory expert second — which gives her enormous credibility. Minimal brand, emphasis on books and talks.</w:t>
      </w:r>
    </w:p>
    <w:p>
      <w:pPr>
        <w:pStyle w:val="Heading2"/>
        <w:spacing w:after="180" w:before="360"/>
      </w:pPr>
      <w:r>
        <w:rPr>
          <w:rFonts w:ascii="Georgia" w:cs="Georgia" w:eastAsia="Georgia" w:hAnsi="Georgia"/>
          <w:b/>
          <w:bCs/>
          <w:color w:val="A0522D"/>
          <w:sz w:val="28"/>
          <w:szCs w:val="28"/>
        </w:rPr>
        <w:t xml:space="preserve">Barbara Carrellas</w:t>
      </w:r>
    </w:p>
    <w:p>
      <w:pPr>
        <w:spacing w:after="120" w:before="120" w:line="320"/>
      </w:pPr>
      <w:r>
        <w:rPr>
          <w:sz w:val="22"/>
          <w:szCs w:val="22"/>
        </w:rPr>
        <w:t xml:space="preserve">Urban Tantra author. Pioneer status. Warmer, older, more activist voice. Uses "ecstatic," "expansive," "erotic energy." Her brand is less polished than the newer educators, which actually reads as trustworthy — she's been at this since the 90s.</w:t>
      </w:r>
    </w:p>
    <w:p>
      <w:pPr>
        <w:pStyle w:val="Heading2"/>
        <w:spacing w:after="180" w:before="360"/>
      </w:pPr>
      <w:r>
        <w:rPr>
          <w:rFonts w:ascii="Georgia" w:cs="Georgia" w:eastAsia="Georgia" w:hAnsi="Georgia"/>
          <w:b/>
          <w:bCs/>
          <w:color w:val="A0522D"/>
          <w:sz w:val="28"/>
          <w:szCs w:val="28"/>
        </w:rPr>
        <w:t xml:space="preserve">Somatica Institute</w:t>
      </w:r>
    </w:p>
    <w:p>
      <w:pPr>
        <w:spacing w:after="120" w:before="120" w:line="320"/>
      </w:pPr>
      <w:r>
        <w:rPr>
          <w:sz w:val="22"/>
          <w:szCs w:val="22"/>
        </w:rPr>
        <w:t xml:space="preserve">Sex and intimacy coaching certification program. Copy is earnest, warm, pedagogical. Lots of "somatic," "embodied," "attunement." Teal + warm neutrals palette. They target aspiring practitioners, not end clients, but their language bridges therapy-world and kink-world — a great reference for SPC's voice.</w:t>
      </w:r>
    </w:p>
    <w:p>
      <w:pPr>
        <w:pStyle w:val="Heading2"/>
        <w:spacing w:after="180" w:before="360"/>
      </w:pPr>
      <w:r>
        <w:rPr>
          <w:rFonts w:ascii="Georgia" w:cs="Georgia" w:eastAsia="Georgia" w:hAnsi="Georgia"/>
          <w:b/>
          <w:bCs/>
          <w:color w:val="A0522D"/>
          <w:sz w:val="28"/>
          <w:szCs w:val="28"/>
        </w:rPr>
        <w:t xml:space="preserve">Lee Harrington — Passion &amp; Soul</w:t>
      </w:r>
    </w:p>
    <w:p>
      <w:pPr>
        <w:spacing w:after="120" w:before="120" w:line="320"/>
      </w:pPr>
      <w:r>
        <w:rPr>
          <w:sz w:val="22"/>
          <w:szCs w:val="22"/>
        </w:rPr>
        <w:t xml:space="preserve">Educator, author, ritual-oriented. Masculine-adjacent but frequently teaches alongside women educators. Gender-expansive framing. Good reference for inclusive language that doesn't default to heteronormative couples.</w:t>
      </w:r>
    </w:p>
    <w:p>
      <w:pPr>
        <w:pStyle w:val="Heading2"/>
        <w:spacing w:after="180" w:before="360"/>
      </w:pPr>
      <w:r>
        <w:rPr>
          <w:rFonts w:ascii="Georgia" w:cs="Georgia" w:eastAsia="Georgia" w:hAnsi="Georgia"/>
          <w:b/>
          <w:bCs/>
          <w:color w:val="A0522D"/>
          <w:sz w:val="28"/>
          <w:szCs w:val="28"/>
        </w:rPr>
        <w:t xml:space="preserve">Sunny Megatron</w:t>
      </w:r>
    </w:p>
    <w:p>
      <w:pPr>
        <w:spacing w:after="120" w:before="120" w:line="320"/>
      </w:pPr>
      <w:r>
        <w:rPr>
          <w:sz w:val="22"/>
          <w:szCs w:val="22"/>
        </w:rPr>
        <w:t xml:space="preserve">Sex educator, podcast host (American Sex, Open Deeply). Very approachable, conversational voice. Copy reads like a smart friend. She shows what a trustworthy accessible-educator tone sounds like without being condescending.</w:t>
      </w:r>
    </w:p>
    <w:p>
      <w:pPr>
        <w:pStyle w:val="Heading2"/>
        <w:spacing w:after="180" w:before="360"/>
      </w:pPr>
      <w:r>
        <w:rPr>
          <w:rFonts w:ascii="Georgia" w:cs="Georgia" w:eastAsia="Georgia" w:hAnsi="Georgia"/>
          <w:b/>
          <w:bCs/>
          <w:color w:val="A0522D"/>
          <w:sz w:val="28"/>
          <w:szCs w:val="28"/>
        </w:rPr>
        <w:t xml:space="preserve">Community brands (The Expansive Group, Curious Fox, etc.)</w:t>
      </w:r>
    </w:p>
    <w:p>
      <w:pPr>
        <w:spacing w:after="120" w:before="120" w:line="320"/>
      </w:pPr>
      <w:r>
        <w:rPr>
          <w:sz w:val="22"/>
          <w:szCs w:val="22"/>
        </w:rPr>
        <w:t xml:space="preserve">Community-first (not personality-led). Use "members," "gatherings," "space," "collective." Tend toward aesthetic minimalism because the community is the product, not the founder. This is the lane SPC is in.</w:t>
      </w:r>
    </w:p>
    <w:p>
      <w:pPr>
        <w:pBdr>
          <w:bottom w:val="single" w:color="6B7B5E" w:sz="6" w:space="1"/>
        </w:pBdr>
        <w:spacing w:after="360" w:before="360"/>
      </w:pPr>
      <w:r>
        <w:t xml:space="preserve"/>
      </w:r>
    </w:p>
    <w:p>
      <w:pPr>
        <w:pStyle w:val="Heading1"/>
        <w:spacing w:after="240" w:before="480"/>
      </w:pPr>
      <w:r>
        <w:rPr>
          <w:rFonts w:ascii="Georgia" w:cs="Georgia" w:eastAsia="Georgia" w:hAnsi="Georgia"/>
          <w:b/>
          <w:bCs/>
          <w:color w:val="3B3A30"/>
          <w:sz w:val="36"/>
          <w:szCs w:val="36"/>
        </w:rPr>
        <w:t xml:space="preserve">Patterns Across the Field</w:t>
      </w:r>
    </w:p>
    <w:p>
      <w:pPr>
        <w:pStyle w:val="Heading2"/>
        <w:spacing w:after="180" w:before="360"/>
      </w:pPr>
      <w:r>
        <w:rPr>
          <w:rFonts w:ascii="Georgia" w:cs="Georgia" w:eastAsia="Georgia" w:hAnsi="Georgia"/>
          <w:b/>
          <w:bCs/>
          <w:color w:val="A0522D"/>
          <w:sz w:val="28"/>
          <w:szCs w:val="28"/>
        </w:rPr>
        <w:t xml:space="preserve">Recurring Language</w:t>
      </w:r>
    </w:p>
    <w:p>
      <w:pPr>
        <w:spacing w:after="120" w:before="120" w:line="320"/>
      </w:pPr>
      <w:r>
        <w:rPr>
          <w:sz w:val="22"/>
          <w:szCs w:val="22"/>
        </w:rPr>
        <w:t xml:space="preserve">The words that appear repeatedly across successful brands in this space, grouped by theme:</w:t>
      </w:r>
    </w:p>
    <w:p>
      <w:pPr>
        <w:pStyle w:val="ListParagraph"/>
        <w:numPr>
          <w:ilvl w:val="0"/>
          <w:numId w:val="2"/>
        </w:numPr>
        <w:spacing w:after="80" w:before="80" w:line="300"/>
      </w:pPr>
      <w:r>
        <w:rPr>
          <w:b/>
          <w:bCs/>
          <w:sz w:val="22"/>
          <w:szCs w:val="22"/>
        </w:rPr>
        <w:t xml:space="preserve">Embodiment: </w:t>
      </w:r>
      <w:r>
        <w:rPr>
          <w:sz w:val="22"/>
          <w:szCs w:val="22"/>
        </w:rPr>
        <w:t xml:space="preserve">embodied, somatic, felt sense, come home to yourself, in your body, presence, attunement</w:t>
      </w:r>
    </w:p>
    <w:p>
      <w:pPr>
        <w:pStyle w:val="ListParagraph"/>
        <w:numPr>
          <w:ilvl w:val="0"/>
          <w:numId w:val="2"/>
        </w:numPr>
        <w:spacing w:after="80" w:before="80" w:line="300"/>
      </w:pPr>
      <w:r>
        <w:rPr>
          <w:b/>
          <w:bCs/>
          <w:sz w:val="22"/>
          <w:szCs w:val="22"/>
        </w:rPr>
        <w:t xml:space="preserve">Power: </w:t>
      </w:r>
      <w:r>
        <w:rPr>
          <w:sz w:val="22"/>
          <w:szCs w:val="22"/>
        </w:rPr>
        <w:t xml:space="preserve">reclaim, agency, autonomy, sovereignty, consent, empowerment, your yes, your no</w:t>
      </w:r>
    </w:p>
    <w:p>
      <w:pPr>
        <w:pStyle w:val="ListParagraph"/>
        <w:numPr>
          <w:ilvl w:val="0"/>
          <w:numId w:val="2"/>
        </w:numPr>
        <w:spacing w:after="80" w:before="80" w:line="300"/>
      </w:pPr>
      <w:r>
        <w:rPr>
          <w:b/>
          <w:bCs/>
          <w:sz w:val="22"/>
          <w:szCs w:val="22"/>
        </w:rPr>
        <w:t xml:space="preserve">Community: </w:t>
      </w:r>
      <w:r>
        <w:rPr>
          <w:sz w:val="22"/>
          <w:szCs w:val="22"/>
        </w:rPr>
        <w:t xml:space="preserve">collective, gathering, circle, container, space, belonging, held, witnessed</w:t>
      </w:r>
    </w:p>
    <w:p>
      <w:pPr>
        <w:pStyle w:val="ListParagraph"/>
        <w:numPr>
          <w:ilvl w:val="0"/>
          <w:numId w:val="2"/>
        </w:numPr>
        <w:spacing w:after="80" w:before="80" w:line="300"/>
      </w:pPr>
      <w:r>
        <w:rPr>
          <w:b/>
          <w:bCs/>
          <w:sz w:val="22"/>
          <w:szCs w:val="22"/>
        </w:rPr>
        <w:t xml:space="preserve">Exploration: </w:t>
      </w:r>
      <w:r>
        <w:rPr>
          <w:sz w:val="22"/>
          <w:szCs w:val="22"/>
        </w:rPr>
        <w:t xml:space="preserve">curious, exploration, journey, discover, learning edge, expansive, invitation</w:t>
      </w:r>
    </w:p>
    <w:p>
      <w:pPr>
        <w:pStyle w:val="ListParagraph"/>
        <w:numPr>
          <w:ilvl w:val="0"/>
          <w:numId w:val="2"/>
        </w:numPr>
        <w:spacing w:after="80" w:before="80" w:line="300"/>
      </w:pPr>
      <w:r>
        <w:rPr>
          <w:b/>
          <w:bCs/>
          <w:sz w:val="22"/>
          <w:szCs w:val="22"/>
        </w:rPr>
        <w:t xml:space="preserve">Safety: </w:t>
      </w:r>
      <w:r>
        <w:rPr>
          <w:sz w:val="22"/>
          <w:szCs w:val="22"/>
        </w:rPr>
        <w:t xml:space="preserve">trauma-aware, inclusive, affirming, consent-centered, held with care, trust, braver space</w:t>
      </w:r>
    </w:p>
    <w:p>
      <w:pPr>
        <w:spacing w:after="120" w:before="120" w:line="320"/>
      </w:pPr>
      <w:r>
        <w:rPr>
          <w:sz w:val="22"/>
          <w:szCs w:val="22"/>
        </w:rPr>
        <w:t xml:space="preserve">The word "kink" itself is used selectively — often paired with softening nouns like "curiosity," "conscious kink," or "intentional play."</w:t>
      </w:r>
    </w:p>
    <w:p>
      <w:pPr>
        <w:pStyle w:val="Heading2"/>
        <w:spacing w:after="180" w:before="360"/>
      </w:pPr>
      <w:r>
        <w:rPr>
          <w:rFonts w:ascii="Georgia" w:cs="Georgia" w:eastAsia="Georgia" w:hAnsi="Georgia"/>
          <w:b/>
          <w:bCs/>
          <w:color w:val="A0522D"/>
          <w:sz w:val="28"/>
          <w:szCs w:val="28"/>
        </w:rPr>
        <w:t xml:space="preserve">CTA Patterns</w:t>
      </w:r>
    </w:p>
    <w:p>
      <w:pPr>
        <w:spacing w:after="120" w:before="120" w:line="320"/>
      </w:pPr>
      <w:r>
        <w:rPr>
          <w:sz w:val="22"/>
          <w:szCs w:val="22"/>
        </w:rPr>
        <w:t xml:space="preserve">Nobody in this space says "Buy now." They say:</w:t>
      </w:r>
    </w:p>
    <w:p>
      <w:pPr>
        <w:pStyle w:val="ListParagraph"/>
        <w:numPr>
          <w:ilvl w:val="0"/>
          <w:numId w:val="2"/>
        </w:numPr>
        <w:spacing w:after="80" w:before="80" w:line="300"/>
      </w:pPr>
      <w:r>
        <w:rPr>
          <w:sz w:val="22"/>
          <w:szCs w:val="22"/>
        </w:rPr>
        <w:t xml:space="preserve">"Join a circle"</w:t>
      </w:r>
    </w:p>
    <w:p>
      <w:pPr>
        <w:pStyle w:val="ListParagraph"/>
        <w:numPr>
          <w:ilvl w:val="0"/>
          <w:numId w:val="2"/>
        </w:numPr>
        <w:spacing w:after="80" w:before="80" w:line="300"/>
      </w:pPr>
      <w:r>
        <w:rPr>
          <w:sz w:val="22"/>
          <w:szCs w:val="22"/>
        </w:rPr>
        <w:t xml:space="preserve">"Begin your journey"</w:t>
      </w:r>
    </w:p>
    <w:p>
      <w:pPr>
        <w:pStyle w:val="ListParagraph"/>
        <w:numPr>
          <w:ilvl w:val="0"/>
          <w:numId w:val="2"/>
        </w:numPr>
        <w:spacing w:after="80" w:before="80" w:line="300"/>
      </w:pPr>
      <w:r>
        <w:rPr>
          <w:sz w:val="22"/>
          <w:szCs w:val="22"/>
        </w:rPr>
        <w:t xml:space="preserve">"Explore upcoming offerings"</w:t>
      </w:r>
    </w:p>
    <w:p>
      <w:pPr>
        <w:pStyle w:val="ListParagraph"/>
        <w:numPr>
          <w:ilvl w:val="0"/>
          <w:numId w:val="2"/>
        </w:numPr>
        <w:spacing w:after="80" w:before="80" w:line="300"/>
      </w:pPr>
      <w:r>
        <w:rPr>
          <w:sz w:val="22"/>
          <w:szCs w:val="22"/>
        </w:rPr>
        <w:t xml:space="preserve">"Apply to work together"</w:t>
      </w:r>
    </w:p>
    <w:p>
      <w:pPr>
        <w:pStyle w:val="ListParagraph"/>
        <w:numPr>
          <w:ilvl w:val="0"/>
          <w:numId w:val="2"/>
        </w:numPr>
        <w:spacing w:after="80" w:before="80" w:line="300"/>
      </w:pPr>
      <w:r>
        <w:rPr>
          <w:sz w:val="22"/>
          <w:szCs w:val="22"/>
        </w:rPr>
        <w:t xml:space="preserve">"Find your way in"</w:t>
      </w:r>
    </w:p>
    <w:p>
      <w:pPr>
        <w:pStyle w:val="ListParagraph"/>
        <w:numPr>
          <w:ilvl w:val="0"/>
          <w:numId w:val="2"/>
        </w:numPr>
        <w:spacing w:after="80" w:before="80" w:line="300"/>
      </w:pPr>
      <w:r>
        <w:rPr>
          <w:sz w:val="22"/>
          <w:szCs w:val="22"/>
        </w:rPr>
        <w:t xml:space="preserve">"Get on the list"</w:t>
      </w:r>
    </w:p>
    <w:p>
      <w:pPr>
        <w:spacing w:after="120" w:before="120" w:line="320"/>
      </w:pPr>
      <w:r>
        <w:rPr>
          <w:sz w:val="22"/>
          <w:szCs w:val="22"/>
        </w:rPr>
        <w:t xml:space="preserve">"Apply" is especially interesting — it signals selectivity and that the educator is choosing you too, not just taking your money. Both Midori and Kasia use it.</w:t>
      </w:r>
    </w:p>
    <w:p>
      <w:pPr>
        <w:pStyle w:val="Heading2"/>
        <w:spacing w:after="180" w:before="360"/>
      </w:pPr>
      <w:r>
        <w:rPr>
          <w:rFonts w:ascii="Georgia" w:cs="Georgia" w:eastAsia="Georgia" w:hAnsi="Georgia"/>
          <w:b/>
          <w:bCs/>
          <w:color w:val="A0522D"/>
          <w:sz w:val="28"/>
          <w:szCs w:val="28"/>
        </w:rPr>
        <w:t xml:space="preserve">Pricing Transparency</w:t>
      </w:r>
    </w:p>
    <w:p>
      <w:pPr>
        <w:spacing w:after="120" w:before="120" w:line="320"/>
      </w:pPr>
      <w:r>
        <w:rPr>
          <w:sz w:val="22"/>
          <w:szCs w:val="22"/>
        </w:rPr>
        <w:t xml:space="preserve">Split roughly 50/50. Larger brands (Layla Martin, Somatica) publish clear tiered pricing. Smaller personality-led brands (Midori, Kasia) use "Apply" or "Inquire" — preserving scarcity and allowing price flexibility.</w:t>
      </w:r>
    </w:p>
    <w:p>
      <w:pPr>
        <w:spacing w:after="120" w:before="120" w:line="320"/>
      </w:pPr>
      <w:r>
        <w:rPr>
          <w:b/>
          <w:bCs/>
          <w:sz w:val="22"/>
          <w:szCs w:val="22"/>
        </w:rPr>
        <w:t xml:space="preserve">For SPC, "Inquire" is the right call early. </w:t>
      </w:r>
      <w:r>
        <w:rPr>
          <w:sz w:val="22"/>
          <w:szCs w:val="22"/>
        </w:rPr>
        <w:t xml:space="preserve">It lets you price based on fit, and it matches the intimate community vibe.</w:t>
      </w:r>
    </w:p>
    <w:p>
      <w:pPr>
        <w:pStyle w:val="Heading2"/>
        <w:spacing w:after="180" w:before="360"/>
      </w:pPr>
      <w:r>
        <w:rPr>
          <w:rFonts w:ascii="Georgia" w:cs="Georgia" w:eastAsia="Georgia" w:hAnsi="Georgia"/>
          <w:b/>
          <w:bCs/>
          <w:color w:val="A0522D"/>
          <w:sz w:val="28"/>
          <w:szCs w:val="28"/>
        </w:rPr>
        <w:t xml:space="preserve">Visual Patterns That Work</w:t>
      </w:r>
    </w:p>
    <w:p>
      <w:pPr>
        <w:pStyle w:val="ListParagraph"/>
        <w:numPr>
          <w:ilvl w:val="0"/>
          <w:numId w:val="2"/>
        </w:numPr>
        <w:spacing w:after="80" w:before="80" w:line="300"/>
      </w:pPr>
      <w:r>
        <w:rPr>
          <w:sz w:val="22"/>
          <w:szCs w:val="22"/>
        </w:rPr>
        <w:t xml:space="preserve">Warm earth palettes are ascendant (sage, terracotta, cream, rust, soft gold). The old dark-red-leather palette is out.</w:t>
      </w:r>
    </w:p>
    <w:p>
      <w:pPr>
        <w:pStyle w:val="ListParagraph"/>
        <w:numPr>
          <w:ilvl w:val="0"/>
          <w:numId w:val="2"/>
        </w:numPr>
        <w:spacing w:after="80" w:before="80" w:line="300"/>
      </w:pPr>
      <w:r>
        <w:rPr>
          <w:sz w:val="22"/>
          <w:szCs w:val="22"/>
        </w:rPr>
        <w:t xml:space="preserve">Hand-drawn or organic illustrations are a strong differentiator. Midori and Barbara Carrellas both use them. They soften the subject matter.</w:t>
      </w:r>
    </w:p>
    <w:p>
      <w:pPr>
        <w:pStyle w:val="ListParagraph"/>
        <w:numPr>
          <w:ilvl w:val="0"/>
          <w:numId w:val="2"/>
        </w:numPr>
        <w:spacing w:after="80" w:before="80" w:line="300"/>
      </w:pPr>
      <w:r>
        <w:rPr>
          <w:sz w:val="22"/>
          <w:szCs w:val="22"/>
        </w:rPr>
        <w:t xml:space="preserve">Photography: real people, natural light, hands + objects (rope, candles, books, tea cups), faces but not always — intimacy without voyeurism.</w:t>
      </w:r>
    </w:p>
    <w:p>
      <w:pPr>
        <w:pStyle w:val="ListParagraph"/>
        <w:numPr>
          <w:ilvl w:val="0"/>
          <w:numId w:val="2"/>
        </w:numPr>
        <w:spacing w:after="80" w:before="80" w:line="300"/>
      </w:pPr>
      <w:r>
        <w:rPr>
          <w:sz w:val="22"/>
          <w:szCs w:val="22"/>
        </w:rPr>
        <w:t xml:space="preserve">Typography: refined serifs for headings (Cormorant, Playfair, Tenor) paired with clean humanist sans (Nunito, Inter, Montserrat).</w:t>
      </w:r>
    </w:p>
    <w:p>
      <w:pPr>
        <w:pStyle w:val="ListParagraph"/>
        <w:numPr>
          <w:ilvl w:val="0"/>
          <w:numId w:val="2"/>
        </w:numPr>
        <w:spacing w:after="80" w:before="80" w:line="300"/>
      </w:pPr>
      <w:r>
        <w:rPr>
          <w:sz w:val="22"/>
          <w:szCs w:val="22"/>
        </w:rPr>
        <w:t xml:space="preserve">Whitespace is non-negotiable. Cramped design reads amateur in this space.</w:t>
      </w:r>
    </w:p>
    <w:p>
      <w:pPr>
        <w:pBdr>
          <w:bottom w:val="single" w:color="6B7B5E" w:sz="6" w:space="1"/>
        </w:pBdr>
        <w:spacing w:after="360" w:before="360"/>
      </w:pPr>
      <w:r>
        <w:t xml:space="preserve"/>
      </w:r>
    </w:p>
    <w:p>
      <w:pPr>
        <w:pStyle w:val="Heading1"/>
        <w:spacing w:after="240" w:before="480"/>
      </w:pPr>
      <w:r>
        <w:rPr>
          <w:rFonts w:ascii="Georgia" w:cs="Georgia" w:eastAsia="Georgia" w:hAnsi="Georgia"/>
          <w:b/>
          <w:bCs/>
          <w:color w:val="3B3A30"/>
          <w:sz w:val="36"/>
          <w:szCs w:val="36"/>
        </w:rPr>
        <w:t xml:space="preserve">Positioning Opportunities for SPC</w:t>
      </w:r>
    </w:p>
    <w:p>
      <w:pPr>
        <w:pStyle w:val="Heading2"/>
        <w:spacing w:after="180" w:before="360"/>
      </w:pPr>
      <w:r>
        <w:rPr>
          <w:rFonts w:ascii="Georgia" w:cs="Georgia" w:eastAsia="Georgia" w:hAnsi="Georgia"/>
          <w:b/>
          <w:bCs/>
          <w:color w:val="A0522D"/>
          <w:sz w:val="28"/>
          <w:szCs w:val="28"/>
        </w:rPr>
        <w:t xml:space="preserve">What's Crowded</w:t>
      </w:r>
    </w:p>
    <w:p>
      <w:pPr>
        <w:pStyle w:val="ListParagraph"/>
        <w:numPr>
          <w:ilvl w:val="0"/>
          <w:numId w:val="2"/>
        </w:numPr>
        <w:spacing w:after="80" w:before="80" w:line="300"/>
      </w:pPr>
      <w:r>
        <w:rPr>
          <w:sz w:val="22"/>
          <w:szCs w:val="22"/>
        </w:rPr>
        <w:t xml:space="preserve">Tantra / sacred sexuality (Layla Martin owns this)</w:t>
      </w:r>
    </w:p>
    <w:p>
      <w:pPr>
        <w:pStyle w:val="ListParagraph"/>
        <w:numPr>
          <w:ilvl w:val="0"/>
          <w:numId w:val="2"/>
        </w:numPr>
        <w:spacing w:after="80" w:before="80" w:line="300"/>
      </w:pPr>
      <w:r>
        <w:rPr>
          <w:sz w:val="22"/>
          <w:szCs w:val="22"/>
        </w:rPr>
        <w:t xml:space="preserve">Polyamory + attachment theory (Jessica Fern owns this)</w:t>
      </w:r>
    </w:p>
    <w:p>
      <w:pPr>
        <w:pStyle w:val="ListParagraph"/>
        <w:numPr>
          <w:ilvl w:val="0"/>
          <w:numId w:val="2"/>
        </w:numPr>
        <w:spacing w:after="80" w:before="80" w:line="300"/>
      </w:pPr>
      <w:r>
        <w:rPr>
          <w:sz w:val="22"/>
          <w:szCs w:val="22"/>
        </w:rPr>
        <w:t xml:space="preserve">Rope / shibari education (Bound Studio, Lee Harrington, Midori all active)</w:t>
      </w:r>
    </w:p>
    <w:p>
      <w:pPr>
        <w:pStyle w:val="ListParagraph"/>
        <w:numPr>
          <w:ilvl w:val="0"/>
          <w:numId w:val="2"/>
        </w:numPr>
        <w:spacing w:after="80" w:before="80" w:line="300"/>
      </w:pPr>
      <w:r>
        <w:rPr>
          <w:sz w:val="22"/>
          <w:szCs w:val="22"/>
        </w:rPr>
        <w:t xml:space="preserve">Female dominance coaching (Kasia, Midori)</w:t>
      </w:r>
    </w:p>
    <w:p>
      <w:pPr>
        <w:pStyle w:val="Heading2"/>
        <w:spacing w:after="180" w:before="360"/>
      </w:pPr>
      <w:r>
        <w:rPr>
          <w:rFonts w:ascii="Georgia" w:cs="Georgia" w:eastAsia="Georgia" w:hAnsi="Georgia"/>
          <w:b/>
          <w:bCs/>
          <w:color w:val="A0522D"/>
          <w:sz w:val="28"/>
          <w:szCs w:val="28"/>
        </w:rPr>
        <w:t xml:space="preserve">What's Underserved</w:t>
      </w:r>
    </w:p>
    <w:p>
      <w:pPr>
        <w:pStyle w:val="ListParagraph"/>
        <w:numPr>
          <w:ilvl w:val="0"/>
          <w:numId w:val="3"/>
        </w:numPr>
        <w:spacing w:after="80" w:before="80" w:line="300"/>
      </w:pPr>
      <w:r>
        <w:rPr>
          <w:b/>
          <w:bCs/>
          <w:sz w:val="22"/>
          <w:szCs w:val="22"/>
        </w:rPr>
        <w:t xml:space="preserve">Warm + rigorous community for kink-curious people who don't identify as "kinky." </w:t>
      </w:r>
      <w:r>
        <w:rPr>
          <w:sz w:val="22"/>
          <w:szCs w:val="22"/>
        </w:rPr>
        <w:t xml:space="preserve">Most brands require you to self-identify before they let you in. SPC can be the on-ramp.</w:t>
      </w:r>
    </w:p>
    <w:p>
      <w:pPr>
        <w:pStyle w:val="ListParagraph"/>
        <w:numPr>
          <w:ilvl w:val="0"/>
          <w:numId w:val="3"/>
        </w:numPr>
        <w:spacing w:after="80" w:before="80" w:line="300"/>
      </w:pPr>
      <w:r>
        <w:rPr>
          <w:b/>
          <w:bCs/>
          <w:sz w:val="22"/>
          <w:szCs w:val="22"/>
        </w:rPr>
        <w:t xml:space="preserve">Explicit "emotional intelligence meets practical play." </w:t>
      </w:r>
      <w:r>
        <w:rPr>
          <w:sz w:val="22"/>
          <w:szCs w:val="22"/>
        </w:rPr>
        <w:t xml:space="preserve">Most educators emphasize one or the other. Your bio beats (C-suite background + personal journey) are a rare combination that lets you credibly hold both.</w:t>
      </w:r>
    </w:p>
    <w:p>
      <w:pPr>
        <w:pStyle w:val="ListParagraph"/>
        <w:numPr>
          <w:ilvl w:val="0"/>
          <w:numId w:val="3"/>
        </w:numPr>
        <w:spacing w:after="80" w:before="80" w:line="300"/>
      </w:pPr>
      <w:r>
        <w:rPr>
          <w:b/>
          <w:bCs/>
          <w:sz w:val="22"/>
          <w:szCs w:val="22"/>
        </w:rPr>
        <w:t xml:space="preserve">Community-first, not personality-first. </w:t>
      </w:r>
      <w:r>
        <w:rPr>
          <w:sz w:val="22"/>
          <w:szCs w:val="22"/>
        </w:rPr>
        <w:t xml:space="preserve">You're "The Collective," not "Casey Lynn Coaching." That's a structural differentiator — personality-led brands rise and fall with the person; a collective has room to scale and be plural.</w:t>
      </w:r>
    </w:p>
    <w:p>
      <w:pPr>
        <w:pStyle w:val="ListParagraph"/>
        <w:numPr>
          <w:ilvl w:val="0"/>
          <w:numId w:val="3"/>
        </w:numPr>
        <w:spacing w:after="80" w:before="80" w:line="300"/>
      </w:pPr>
      <w:r>
        <w:rPr>
          <w:b/>
          <w:bCs/>
          <w:sz w:val="22"/>
          <w:szCs w:val="22"/>
        </w:rPr>
        <w:t xml:space="preserve">Sliding-scale accessibility without looking cheap. </w:t>
      </w:r>
      <w:r>
        <w:rPr>
          <w:sz w:val="22"/>
          <w:szCs w:val="22"/>
        </w:rPr>
        <w:t xml:space="preserve">Most of the market is either $$$$ intensives or bargain-bin. A clear "we believe in making this accessible" stance is distinctive.</w:t>
      </w:r>
    </w:p>
    <w:p>
      <w:pPr>
        <w:pBdr>
          <w:bottom w:val="single" w:color="6B7B5E" w:sz="6" w:space="1"/>
        </w:pBdr>
        <w:spacing w:after="360" w:before="360"/>
      </w:pPr>
      <w:r>
        <w:t xml:space="preserve"/>
      </w:r>
    </w:p>
    <w:p>
      <w:pPr>
        <w:pStyle w:val="Heading1"/>
        <w:spacing w:after="240" w:before="480"/>
      </w:pPr>
      <w:r>
        <w:rPr>
          <w:rFonts w:ascii="Georgia" w:cs="Georgia" w:eastAsia="Georgia" w:hAnsi="Georgia"/>
          <w:b/>
          <w:bCs/>
          <w:color w:val="3B3A30"/>
          <w:sz w:val="36"/>
          <w:szCs w:val="36"/>
        </w:rPr>
        <w:t xml:space="preserve">Copy Recommendations</w:t>
      </w:r>
    </w:p>
    <w:p>
      <w:pPr>
        <w:pStyle w:val="Heading2"/>
        <w:spacing w:after="180" w:before="360"/>
      </w:pPr>
      <w:r>
        <w:rPr>
          <w:rFonts w:ascii="Georgia" w:cs="Georgia" w:eastAsia="Georgia" w:hAnsi="Georgia"/>
          <w:b/>
          <w:bCs/>
          <w:color w:val="A0522D"/>
          <w:sz w:val="28"/>
          <w:szCs w:val="28"/>
        </w:rPr>
        <w:t xml:space="preserve">Headlines &amp; Taglines to Consider or Adapt</w:t>
      </w:r>
    </w:p>
    <w:p>
      <w:pPr>
        <w:pStyle w:val="ListParagraph"/>
        <w:numPr>
          <w:ilvl w:val="0"/>
          <w:numId w:val="3"/>
        </w:numPr>
        <w:spacing w:after="80" w:before="80" w:line="300"/>
      </w:pPr>
      <w:r>
        <w:rPr>
          <w:sz w:val="22"/>
          <w:szCs w:val="22"/>
        </w:rPr>
        <w:t xml:space="preserve">"A gentle space for bold exploration." </w:t>
      </w:r>
      <w:r>
        <w:rPr>
          <w:i/>
          <w:iCs/>
          <w:color w:val="666666"/>
          <w:sz w:val="22"/>
          <w:szCs w:val="22"/>
        </w:rPr>
        <w:t xml:space="preserve">(your current — keep it, it's strong)</w:t>
      </w:r>
    </w:p>
    <w:p>
      <w:pPr>
        <w:pStyle w:val="ListParagraph"/>
        <w:numPr>
          <w:ilvl w:val="0"/>
          <w:numId w:val="3"/>
        </w:numPr>
        <w:spacing w:after="80" w:before="80" w:line="300"/>
      </w:pPr>
      <w:r>
        <w:rPr>
          <w:sz w:val="22"/>
          <w:szCs w:val="22"/>
        </w:rPr>
        <w:t xml:space="preserve">"Curiosity is enough."</w:t>
      </w:r>
    </w:p>
    <w:p>
      <w:pPr>
        <w:pStyle w:val="ListParagraph"/>
        <w:numPr>
          <w:ilvl w:val="0"/>
          <w:numId w:val="3"/>
        </w:numPr>
        <w:spacing w:after="80" w:before="80" w:line="300"/>
      </w:pPr>
      <w:r>
        <w:rPr>
          <w:sz w:val="22"/>
          <w:szCs w:val="22"/>
        </w:rPr>
        <w:t xml:space="preserve">"Where emotional intelligence meets intentional play."</w:t>
      </w:r>
    </w:p>
    <w:p>
      <w:pPr>
        <w:pStyle w:val="ListParagraph"/>
        <w:numPr>
          <w:ilvl w:val="0"/>
          <w:numId w:val="3"/>
        </w:numPr>
        <w:spacing w:after="80" w:before="80" w:line="300"/>
      </w:pPr>
      <w:r>
        <w:rPr>
          <w:sz w:val="22"/>
          <w:szCs w:val="22"/>
        </w:rPr>
        <w:t xml:space="preserve">"Conscious kink. Honest connection. Real community."</w:t>
      </w:r>
    </w:p>
    <w:p>
      <w:pPr>
        <w:pStyle w:val="ListParagraph"/>
        <w:numPr>
          <w:ilvl w:val="0"/>
          <w:numId w:val="3"/>
        </w:numPr>
        <w:spacing w:after="80" w:before="80" w:line="300"/>
      </w:pPr>
      <w:r>
        <w:rPr>
          <w:sz w:val="22"/>
          <w:szCs w:val="22"/>
        </w:rPr>
        <w:t xml:space="preserve">"For people who want to grow, not just learn."</w:t>
      </w:r>
    </w:p>
    <w:p>
      <w:pPr>
        <w:pStyle w:val="ListParagraph"/>
        <w:numPr>
          <w:ilvl w:val="0"/>
          <w:numId w:val="3"/>
        </w:numPr>
        <w:spacing w:after="80" w:before="80" w:line="300"/>
      </w:pPr>
      <w:r>
        <w:rPr>
          <w:sz w:val="22"/>
          <w:szCs w:val="22"/>
        </w:rPr>
        <w:t xml:space="preserve">"The community you wish you'd had when you started asking questions."</w:t>
      </w:r>
    </w:p>
    <w:p>
      <w:pPr>
        <w:pStyle w:val="ListParagraph"/>
        <w:numPr>
          <w:ilvl w:val="0"/>
          <w:numId w:val="3"/>
        </w:numPr>
        <w:spacing w:after="80" w:before="80" w:line="300"/>
      </w:pPr>
      <w:r>
        <w:rPr>
          <w:sz w:val="22"/>
          <w:szCs w:val="22"/>
        </w:rPr>
        <w:t xml:space="preserve">"Kink that makes sense. Connection that lasts."</w:t>
      </w:r>
    </w:p>
    <w:p>
      <w:pPr>
        <w:pStyle w:val="ListParagraph"/>
        <w:numPr>
          <w:ilvl w:val="0"/>
          <w:numId w:val="3"/>
        </w:numPr>
        <w:spacing w:after="80" w:before="80" w:line="300"/>
      </w:pPr>
      <w:r>
        <w:rPr>
          <w:sz w:val="22"/>
          <w:szCs w:val="22"/>
        </w:rPr>
        <w:t xml:space="preserve">"An invitation, not a test."</w:t>
      </w:r>
    </w:p>
    <w:p>
      <w:pPr>
        <w:pStyle w:val="Heading2"/>
        <w:spacing w:after="180" w:before="360"/>
      </w:pPr>
      <w:r>
        <w:rPr>
          <w:rFonts w:ascii="Georgia" w:cs="Georgia" w:eastAsia="Georgia" w:hAnsi="Georgia"/>
          <w:b/>
          <w:bCs/>
          <w:color w:val="A0522D"/>
          <w:sz w:val="28"/>
          <w:szCs w:val="28"/>
        </w:rPr>
        <w:t xml:space="preserve">Navigation &amp; Button Copy</w:t>
      </w:r>
    </w:p>
    <w:p>
      <w:pPr>
        <w:pStyle w:val="ListParagraph"/>
        <w:numPr>
          <w:ilvl w:val="0"/>
          <w:numId w:val="2"/>
        </w:numPr>
        <w:spacing w:after="80" w:before="80" w:line="300"/>
      </w:pPr>
      <w:r>
        <w:rPr>
          <w:b/>
          <w:bCs/>
          <w:sz w:val="22"/>
          <w:szCs w:val="22"/>
        </w:rPr>
        <w:t xml:space="preserve">"Join a Circle" </w:t>
      </w:r>
      <w:r>
        <w:rPr>
          <w:sz w:val="22"/>
          <w:szCs w:val="22"/>
        </w:rPr>
        <w:t xml:space="preserve">(for coaching circles) — feels held and warm</w:t>
      </w:r>
    </w:p>
    <w:p>
      <w:pPr>
        <w:pStyle w:val="ListParagraph"/>
        <w:numPr>
          <w:ilvl w:val="0"/>
          <w:numId w:val="2"/>
        </w:numPr>
        <w:spacing w:after="80" w:before="80" w:line="300"/>
      </w:pPr>
      <w:r>
        <w:rPr>
          <w:b/>
          <w:bCs/>
          <w:sz w:val="22"/>
          <w:szCs w:val="22"/>
        </w:rPr>
        <w:t xml:space="preserve">"Find Your Pairing" </w:t>
      </w:r>
      <w:r>
        <w:rPr>
          <w:sz w:val="22"/>
          <w:szCs w:val="22"/>
        </w:rPr>
        <w:t xml:space="preserve">(for mentorship) — warmer than "Apply for Mentorship"</w:t>
      </w:r>
    </w:p>
    <w:p>
      <w:pPr>
        <w:pStyle w:val="ListParagraph"/>
        <w:numPr>
          <w:ilvl w:val="0"/>
          <w:numId w:val="2"/>
        </w:numPr>
        <w:spacing w:after="80" w:before="80" w:line="300"/>
      </w:pPr>
      <w:r>
        <w:rPr>
          <w:b/>
          <w:bCs/>
          <w:sz w:val="22"/>
          <w:szCs w:val="22"/>
        </w:rPr>
        <w:t xml:space="preserve">"What's Coming Up" </w:t>
      </w:r>
      <w:r>
        <w:rPr>
          <w:sz w:val="22"/>
          <w:szCs w:val="22"/>
        </w:rPr>
        <w:t xml:space="preserve">(for events) — friendlier than "Calendar"</w:t>
      </w:r>
    </w:p>
    <w:p>
      <w:pPr>
        <w:pStyle w:val="ListParagraph"/>
        <w:numPr>
          <w:ilvl w:val="0"/>
          <w:numId w:val="2"/>
        </w:numPr>
        <w:spacing w:after="80" w:before="80" w:line="300"/>
      </w:pPr>
      <w:r>
        <w:rPr>
          <w:b/>
          <w:bCs/>
          <w:sz w:val="22"/>
          <w:szCs w:val="22"/>
        </w:rPr>
        <w:t xml:space="preserve">"Tell Us About You" </w:t>
      </w:r>
      <w:r>
        <w:rPr>
          <w:sz w:val="22"/>
          <w:szCs w:val="22"/>
        </w:rPr>
        <w:t xml:space="preserve">(for the pricing inquiry intake form) — reframes a transaction as a conversation</w:t>
      </w:r>
    </w:p>
    <w:p>
      <w:pPr>
        <w:pStyle w:val="Heading2"/>
        <w:spacing w:after="180" w:before="360"/>
      </w:pPr>
      <w:r>
        <w:rPr>
          <w:rFonts w:ascii="Georgia" w:cs="Georgia" w:eastAsia="Georgia" w:hAnsi="Georgia"/>
          <w:b/>
          <w:bCs/>
          <w:color w:val="A0522D"/>
          <w:sz w:val="28"/>
          <w:szCs w:val="28"/>
        </w:rPr>
        <w:t xml:space="preserve">Section Transitions &amp; Phrases to Weave In</w:t>
      </w:r>
    </w:p>
    <w:p>
      <w:pPr>
        <w:pBdr>
          <w:left w:val="single" w:color="A0522D" w:sz="18" w:space="12"/>
        </w:pBdr>
        <w:spacing w:after="240" w:before="240" w:line="320"/>
        <w:ind w:left="720" w:right="720"/>
      </w:pPr>
      <w:r>
        <w:rPr>
          <w:rFonts w:ascii="Georgia" w:cs="Georgia" w:eastAsia="Georgia" w:hAnsi="Georgia"/>
          <w:i/>
          <w:iCs/>
          <w:color w:val="3B3A30"/>
          <w:sz w:val="24"/>
          <w:szCs w:val="24"/>
        </w:rPr>
        <w:t xml:space="preserve">"Whoever you are, whatever you're exploring, you belong here."</w:t>
      </w:r>
    </w:p>
    <w:p>
      <w:pPr>
        <w:pBdr>
          <w:left w:val="single" w:color="A0522D" w:sz="18" w:space="12"/>
        </w:pBdr>
        <w:spacing w:after="240" w:before="240" w:line="320"/>
        <w:ind w:left="720" w:right="720"/>
      </w:pPr>
      <w:r>
        <w:rPr>
          <w:rFonts w:ascii="Georgia" w:cs="Georgia" w:eastAsia="Georgia" w:hAnsi="Georgia"/>
          <w:i/>
          <w:iCs/>
          <w:color w:val="3B3A30"/>
          <w:sz w:val="24"/>
          <w:szCs w:val="24"/>
        </w:rPr>
        <w:t xml:space="preserve">"We move at the speed of trust."</w:t>
      </w:r>
    </w:p>
    <w:p>
      <w:pPr>
        <w:pBdr>
          <w:left w:val="single" w:color="A0522D" w:sz="18" w:space="12"/>
        </w:pBdr>
        <w:spacing w:after="240" w:before="240" w:line="320"/>
        <w:ind w:left="720" w:right="720"/>
      </w:pPr>
      <w:r>
        <w:rPr>
          <w:rFonts w:ascii="Georgia" w:cs="Georgia" w:eastAsia="Georgia" w:hAnsi="Georgia"/>
          <w:i/>
          <w:iCs/>
          <w:color w:val="3B3A30"/>
          <w:sz w:val="24"/>
          <w:szCs w:val="24"/>
        </w:rPr>
        <w:t xml:space="preserve">"Take what resonates. Leave the rest."</w:t>
      </w:r>
    </w:p>
    <w:p>
      <w:pPr>
        <w:pBdr>
          <w:left w:val="single" w:color="A0522D" w:sz="18" w:space="12"/>
        </w:pBdr>
        <w:spacing w:after="240" w:before="240" w:line="320"/>
        <w:ind w:left="720" w:right="720"/>
      </w:pPr>
      <w:r>
        <w:rPr>
          <w:rFonts w:ascii="Georgia" w:cs="Georgia" w:eastAsia="Georgia" w:hAnsi="Georgia"/>
          <w:i/>
          <w:iCs/>
          <w:color w:val="3B3A30"/>
          <w:sz w:val="24"/>
          <w:szCs w:val="24"/>
        </w:rPr>
        <w:t xml:space="preserve">"This isn't about getting it right — it's about showing up whole."</w:t>
      </w:r>
    </w:p>
    <w:p>
      <w:pPr>
        <w:pStyle w:val="Heading2"/>
        <w:spacing w:after="180" w:before="360"/>
      </w:pPr>
      <w:r>
        <w:rPr>
          <w:rFonts w:ascii="Georgia" w:cs="Georgia" w:eastAsia="Georgia" w:hAnsi="Georgia"/>
          <w:b/>
          <w:bCs/>
          <w:color w:val="A0522D"/>
          <w:sz w:val="28"/>
          <w:szCs w:val="28"/>
        </w:rPr>
        <w:t xml:space="preserve">Phrases to Avoid</w:t>
      </w:r>
    </w:p>
    <w:p>
      <w:pPr>
        <w:pStyle w:val="ListParagraph"/>
        <w:numPr>
          <w:ilvl w:val="0"/>
          <w:numId w:val="2"/>
        </w:numPr>
        <w:spacing w:after="80" w:before="80" w:line="300"/>
      </w:pPr>
      <w:r>
        <w:rPr>
          <w:sz w:val="22"/>
          <w:szCs w:val="22"/>
        </w:rPr>
        <w:t xml:space="preserve">"Lifestyle" as a noun — too insider, alienates newcomers</w:t>
      </w:r>
    </w:p>
    <w:p>
      <w:pPr>
        <w:pStyle w:val="ListParagraph"/>
        <w:numPr>
          <w:ilvl w:val="0"/>
          <w:numId w:val="2"/>
        </w:numPr>
        <w:spacing w:after="80" w:before="80" w:line="300"/>
      </w:pPr>
      <w:r>
        <w:rPr>
          <w:sz w:val="22"/>
          <w:szCs w:val="22"/>
        </w:rPr>
        <w:t xml:space="preserve">"Kinksters" — infantilizing</w:t>
      </w:r>
    </w:p>
    <w:p>
      <w:pPr>
        <w:pStyle w:val="ListParagraph"/>
        <w:numPr>
          <w:ilvl w:val="0"/>
          <w:numId w:val="2"/>
        </w:numPr>
        <w:spacing w:after="80" w:before="80" w:line="300"/>
      </w:pPr>
      <w:r>
        <w:rPr>
          <w:sz w:val="22"/>
          <w:szCs w:val="22"/>
        </w:rPr>
        <w:t xml:space="preserve">"Play partner" in marketing copy — too specific/insider</w:t>
      </w:r>
    </w:p>
    <w:p>
      <w:pPr>
        <w:pStyle w:val="ListParagraph"/>
        <w:numPr>
          <w:ilvl w:val="0"/>
          <w:numId w:val="2"/>
        </w:numPr>
        <w:spacing w:after="80" w:before="80" w:line="300"/>
      </w:pPr>
      <w:r>
        <w:rPr>
          <w:sz w:val="22"/>
          <w:szCs w:val="22"/>
        </w:rPr>
        <w:t xml:space="preserve">Anything that implies "beginners" vs. "experienced" as a hierarchy</w:t>
      </w:r>
    </w:p>
    <w:p>
      <w:pPr>
        <w:pStyle w:val="ListParagraph"/>
        <w:numPr>
          <w:ilvl w:val="0"/>
          <w:numId w:val="2"/>
        </w:numPr>
        <w:spacing w:after="80" w:before="80" w:line="300"/>
      </w:pPr>
      <w:r>
        <w:rPr>
          <w:sz w:val="22"/>
          <w:szCs w:val="22"/>
        </w:rPr>
        <w:t xml:space="preserve">"Dungeon" language</w:t>
      </w:r>
    </w:p>
    <w:p>
      <w:pPr>
        <w:pBdr>
          <w:bottom w:val="single" w:color="6B7B5E" w:sz="6" w:space="1"/>
        </w:pBdr>
        <w:spacing w:after="360" w:before="360"/>
      </w:pPr>
      <w:r>
        <w:t xml:space="preserve"/>
      </w:r>
    </w:p>
    <w:p>
      <w:pPr>
        <w:pStyle w:val="Heading1"/>
        <w:spacing w:after="240" w:before="480"/>
      </w:pPr>
      <w:r>
        <w:rPr>
          <w:rFonts w:ascii="Georgia" w:cs="Georgia" w:eastAsia="Georgia" w:hAnsi="Georgia"/>
          <w:b/>
          <w:bCs/>
          <w:color w:val="3B3A30"/>
          <w:sz w:val="36"/>
          <w:szCs w:val="36"/>
        </w:rPr>
        <w:t xml:space="preserve">Aesthetic Recommendations</w:t>
      </w:r>
    </w:p>
    <w:p>
      <w:pPr>
        <w:pStyle w:val="Heading2"/>
        <w:spacing w:after="180" w:before="360"/>
      </w:pPr>
      <w:r>
        <w:rPr>
          <w:rFonts w:ascii="Georgia" w:cs="Georgia" w:eastAsia="Georgia" w:hAnsi="Georgia"/>
          <w:b/>
          <w:bCs/>
          <w:color w:val="A0522D"/>
          <w:sz w:val="28"/>
          <w:szCs w:val="28"/>
        </w:rPr>
        <w:t xml:space="preserve">Keep</w:t>
      </w:r>
    </w:p>
    <w:p>
      <w:pPr>
        <w:pStyle w:val="ListParagraph"/>
        <w:numPr>
          <w:ilvl w:val="0"/>
          <w:numId w:val="2"/>
        </w:numPr>
        <w:spacing w:after="80" w:before="80" w:line="300"/>
      </w:pPr>
      <w:r>
        <w:rPr>
          <w:sz w:val="22"/>
          <w:szCs w:val="22"/>
        </w:rPr>
        <w:t xml:space="preserve">Sage green, terracotta, cream, charcoal palette — you're aligned with the winning trend</w:t>
      </w:r>
    </w:p>
    <w:p>
      <w:pPr>
        <w:pStyle w:val="ListParagraph"/>
        <w:numPr>
          <w:ilvl w:val="0"/>
          <w:numId w:val="2"/>
        </w:numPr>
        <w:spacing w:after="80" w:before="80" w:line="300"/>
      </w:pPr>
      <w:r>
        <w:rPr>
          <w:sz w:val="22"/>
          <w:szCs w:val="22"/>
        </w:rPr>
        <w:t xml:space="preserve">Serif headings (Cormorant Garamond is ideal)</w:t>
      </w:r>
    </w:p>
    <w:p>
      <w:pPr>
        <w:pStyle w:val="ListParagraph"/>
        <w:numPr>
          <w:ilvl w:val="0"/>
          <w:numId w:val="2"/>
        </w:numPr>
        <w:spacing w:after="80" w:before="80" w:line="300"/>
      </w:pPr>
      <w:r>
        <w:rPr>
          <w:sz w:val="22"/>
          <w:szCs w:val="22"/>
        </w:rPr>
        <w:t xml:space="preserve">Hand-drawn organic illustrations (open hands, crescent moon, rope knot)</w:t>
      </w:r>
    </w:p>
    <w:p>
      <w:pPr>
        <w:pStyle w:val="ListParagraph"/>
        <w:numPr>
          <w:ilvl w:val="0"/>
          <w:numId w:val="2"/>
        </w:numPr>
        <w:spacing w:after="80" w:before="80" w:line="300"/>
      </w:pPr>
      <w:r>
        <w:rPr>
          <w:sz w:val="22"/>
          <w:szCs w:val="22"/>
        </w:rPr>
        <w:t xml:space="preserve">Warm natural-light photography</w:t>
      </w:r>
    </w:p>
    <w:p>
      <w:pPr>
        <w:pStyle w:val="Heading2"/>
        <w:spacing w:after="180" w:before="360"/>
      </w:pPr>
      <w:r>
        <w:rPr>
          <w:rFonts w:ascii="Georgia" w:cs="Georgia" w:eastAsia="Georgia" w:hAnsi="Georgia"/>
          <w:b/>
          <w:bCs/>
          <w:color w:val="A0522D"/>
          <w:sz w:val="28"/>
          <w:szCs w:val="28"/>
        </w:rPr>
        <w:t xml:space="preserve">Add</w:t>
      </w:r>
    </w:p>
    <w:p>
      <w:pPr>
        <w:pStyle w:val="ListParagraph"/>
        <w:numPr>
          <w:ilvl w:val="0"/>
          <w:numId w:val="2"/>
        </w:numPr>
        <w:spacing w:after="80" w:before="80" w:line="300"/>
      </w:pPr>
      <w:r>
        <w:rPr>
          <w:b/>
          <w:bCs/>
          <w:sz w:val="22"/>
          <w:szCs w:val="22"/>
        </w:rPr>
        <w:t xml:space="preserve">Texture. </w:t>
      </w:r>
      <w:r>
        <w:rPr>
          <w:sz w:val="22"/>
          <w:szCs w:val="22"/>
        </w:rPr>
        <w:t xml:space="preserve">Paper grain, subtle linen textures, soft noise. Most competitors have flat brands; texture reads as crafted and intentional.</w:t>
      </w:r>
    </w:p>
    <w:p>
      <w:pPr>
        <w:pStyle w:val="ListParagraph"/>
        <w:numPr>
          <w:ilvl w:val="0"/>
          <w:numId w:val="2"/>
        </w:numPr>
        <w:spacing w:after="80" w:before="80" w:line="300"/>
      </w:pPr>
      <w:r>
        <w:rPr>
          <w:b/>
          <w:bCs/>
          <w:sz w:val="22"/>
          <w:szCs w:val="22"/>
        </w:rPr>
        <w:t xml:space="preserve">Occasional script/handwritten accents </w:t>
      </w:r>
      <w:r>
        <w:rPr>
          <w:sz w:val="22"/>
          <w:szCs w:val="22"/>
        </w:rPr>
        <w:t xml:space="preserve">for pull quotes or signatures.</w:t>
      </w:r>
    </w:p>
    <w:p>
      <w:pPr>
        <w:pStyle w:val="ListParagraph"/>
        <w:numPr>
          <w:ilvl w:val="0"/>
          <w:numId w:val="2"/>
        </w:numPr>
        <w:spacing w:after="80" w:before="80" w:line="300"/>
      </w:pPr>
      <w:r>
        <w:rPr>
          <w:b/>
          <w:bCs/>
          <w:sz w:val="22"/>
          <w:szCs w:val="22"/>
        </w:rPr>
        <w:t xml:space="preserve">Photography of hands and objects </w:t>
      </w:r>
      <w:r>
        <w:rPr>
          <w:sz w:val="22"/>
          <w:szCs w:val="22"/>
        </w:rPr>
        <w:t xml:space="preserve">(rope, books, candles, herbs) — builds mood without requiring faces.</w:t>
      </w:r>
    </w:p>
    <w:p>
      <w:pPr>
        <w:pStyle w:val="ListParagraph"/>
        <w:numPr>
          <w:ilvl w:val="0"/>
          <w:numId w:val="2"/>
        </w:numPr>
        <w:spacing w:after="80" w:before="80" w:line="300"/>
      </w:pPr>
      <w:r>
        <w:rPr>
          <w:b/>
          <w:bCs/>
          <w:sz w:val="22"/>
          <w:szCs w:val="22"/>
        </w:rPr>
        <w:t xml:space="preserve">Seasonal or monthly theming </w:t>
      </w:r>
      <w:r>
        <w:rPr>
          <w:sz w:val="22"/>
          <w:szCs w:val="22"/>
        </w:rPr>
        <w:t xml:space="preserve">(Layla Martin and Somatica both do this). Gives content cadence and makes the email list feel alive.</w:t>
      </w:r>
    </w:p>
    <w:p>
      <w:pPr>
        <w:pStyle w:val="Heading2"/>
        <w:spacing w:after="180" w:before="360"/>
      </w:pPr>
      <w:r>
        <w:rPr>
          <w:rFonts w:ascii="Georgia" w:cs="Georgia" w:eastAsia="Georgia" w:hAnsi="Georgia"/>
          <w:b/>
          <w:bCs/>
          <w:color w:val="A0522D"/>
          <w:sz w:val="28"/>
          <w:szCs w:val="28"/>
        </w:rPr>
        <w:t xml:space="preserve">Avoid</w:t>
      </w:r>
    </w:p>
    <w:p>
      <w:pPr>
        <w:pStyle w:val="ListParagraph"/>
        <w:numPr>
          <w:ilvl w:val="0"/>
          <w:numId w:val="2"/>
        </w:numPr>
        <w:spacing w:after="80" w:before="80" w:line="300"/>
      </w:pPr>
      <w:r>
        <w:rPr>
          <w:sz w:val="22"/>
          <w:szCs w:val="22"/>
        </w:rPr>
        <w:t xml:space="preserve">Stock photography of "intimate couples" — reads generic</w:t>
      </w:r>
    </w:p>
    <w:p>
      <w:pPr>
        <w:pStyle w:val="ListParagraph"/>
        <w:numPr>
          <w:ilvl w:val="0"/>
          <w:numId w:val="2"/>
        </w:numPr>
        <w:spacing w:after="80" w:before="80" w:line="300"/>
      </w:pPr>
      <w:r>
        <w:rPr>
          <w:sz w:val="22"/>
          <w:szCs w:val="22"/>
        </w:rPr>
        <w:t xml:space="preserve">Red or black as primary colors</w:t>
      </w:r>
    </w:p>
    <w:p>
      <w:pPr>
        <w:pStyle w:val="ListParagraph"/>
        <w:numPr>
          <w:ilvl w:val="0"/>
          <w:numId w:val="2"/>
        </w:numPr>
        <w:spacing w:after="80" w:before="80" w:line="300"/>
      </w:pPr>
      <w:r>
        <w:rPr>
          <w:sz w:val="22"/>
          <w:szCs w:val="22"/>
        </w:rPr>
        <w:t xml:space="preserve">Anything that looks like a kink club aesthetic (metal, leather, neon, skulls)</w:t>
      </w:r>
    </w:p>
    <w:p>
      <w:pPr>
        <w:pStyle w:val="ListParagraph"/>
        <w:numPr>
          <w:ilvl w:val="0"/>
          <w:numId w:val="2"/>
        </w:numPr>
        <w:spacing w:after="80" w:before="80" w:line="300"/>
      </w:pPr>
      <w:r>
        <w:rPr>
          <w:sz w:val="22"/>
          <w:szCs w:val="22"/>
        </w:rPr>
        <w:t xml:space="preserve">Over-polished influencer-style reels — authenticity wins in this space</w:t>
      </w:r>
    </w:p>
    <w:p>
      <w:pPr>
        <w:pBdr>
          <w:bottom w:val="single" w:color="6B7B5E" w:sz="6" w:space="1"/>
        </w:pBdr>
        <w:spacing w:after="360" w:before="360"/>
      </w:pPr>
      <w:r>
        <w:t xml:space="preserve"/>
      </w:r>
    </w:p>
    <w:p>
      <w:pPr>
        <w:pStyle w:val="Heading1"/>
        <w:spacing w:after="240" w:before="480"/>
      </w:pPr>
      <w:r>
        <w:rPr>
          <w:rFonts w:ascii="Georgia" w:cs="Georgia" w:eastAsia="Georgia" w:hAnsi="Georgia"/>
          <w:b/>
          <w:bCs/>
          <w:color w:val="3B3A30"/>
          <w:sz w:val="36"/>
          <w:szCs w:val="36"/>
        </w:rPr>
        <w:t xml:space="preserve">Priority Takeaways for the Website</w:t>
      </w:r>
    </w:p>
    <w:p>
      <w:pPr>
        <w:pStyle w:val="ListParagraph"/>
        <w:numPr>
          <w:ilvl w:val="0"/>
          <w:numId w:val="3"/>
        </w:numPr>
        <w:spacing w:after="80" w:before="80" w:line="300"/>
      </w:pPr>
      <w:r>
        <w:rPr>
          <w:b/>
          <w:bCs/>
          <w:sz w:val="22"/>
          <w:szCs w:val="22"/>
        </w:rPr>
        <w:t xml:space="preserve">Your tagline is already strong. </w:t>
      </w:r>
      <w:r>
        <w:rPr>
          <w:sz w:val="22"/>
          <w:szCs w:val="22"/>
        </w:rPr>
        <w:t xml:space="preserve">Don't let anyone talk you into changing it.</w:t>
      </w:r>
    </w:p>
    <w:p>
      <w:pPr>
        <w:pStyle w:val="ListParagraph"/>
        <w:numPr>
          <w:ilvl w:val="0"/>
          <w:numId w:val="3"/>
        </w:numPr>
        <w:spacing w:after="80" w:before="80" w:line="300"/>
      </w:pPr>
      <w:r>
        <w:rPr>
          <w:b/>
          <w:bCs/>
          <w:sz w:val="22"/>
          <w:szCs w:val="22"/>
        </w:rPr>
        <w:t xml:space="preserve">Lead with "belonging" language on the home page, not "kink" language. </w:t>
      </w:r>
      <w:r>
        <w:rPr>
          <w:sz w:val="22"/>
          <w:szCs w:val="22"/>
        </w:rPr>
        <w:t xml:space="preserve">You can introduce kink as readers go deeper.</w:t>
      </w:r>
    </w:p>
    <w:p>
      <w:pPr>
        <w:pStyle w:val="ListParagraph"/>
        <w:numPr>
          <w:ilvl w:val="0"/>
          <w:numId w:val="3"/>
        </w:numPr>
        <w:spacing w:after="80" w:before="80" w:line="300"/>
      </w:pPr>
      <w:r>
        <w:rPr>
          <w:b/>
          <w:bCs/>
          <w:sz w:val="22"/>
          <w:szCs w:val="22"/>
        </w:rPr>
        <w:t xml:space="preserve">Use "Inquire" not "Buy." </w:t>
      </w:r>
      <w:r>
        <w:rPr>
          <w:sz w:val="22"/>
          <w:szCs w:val="22"/>
        </w:rPr>
        <w:t xml:space="preserve">Matches the intimate vibe and maintains pricing flexibility.</w:t>
      </w:r>
    </w:p>
    <w:p>
      <w:pPr>
        <w:pStyle w:val="ListParagraph"/>
        <w:numPr>
          <w:ilvl w:val="0"/>
          <w:numId w:val="3"/>
        </w:numPr>
        <w:spacing w:after="80" w:before="80" w:line="300"/>
      </w:pPr>
      <w:r>
        <w:rPr>
          <w:b/>
          <w:bCs/>
          <w:sz w:val="22"/>
          <w:szCs w:val="22"/>
        </w:rPr>
        <w:t xml:space="preserve">The "C-suite + personal journey" angle is your unfair advantage. </w:t>
      </w:r>
      <w:r>
        <w:rPr>
          <w:sz w:val="22"/>
          <w:szCs w:val="22"/>
        </w:rPr>
        <w:t xml:space="preserve">Few competitors have both professional rigor AND lived experience. Lean in.</w:t>
      </w:r>
    </w:p>
    <w:p>
      <w:pPr>
        <w:pStyle w:val="ListParagraph"/>
        <w:numPr>
          <w:ilvl w:val="0"/>
          <w:numId w:val="3"/>
        </w:numPr>
        <w:spacing w:after="80" w:before="80" w:line="300"/>
      </w:pPr>
      <w:r>
        <w:rPr>
          <w:b/>
          <w:bCs/>
          <w:sz w:val="22"/>
          <w:szCs w:val="22"/>
        </w:rPr>
        <w:t xml:space="preserve">Community-first framing (The Collective) scales better than personality-first (Casey Lynn Coaching). </w:t>
      </w:r>
      <w:r>
        <w:rPr>
          <w:sz w:val="22"/>
          <w:szCs w:val="22"/>
        </w:rPr>
        <w:t xml:space="preserve">You already got this right.</w:t>
      </w:r>
    </w:p>
    <w:p>
      <w:pPr>
        <w:pStyle w:val="ListParagraph"/>
        <w:numPr>
          <w:ilvl w:val="0"/>
          <w:numId w:val="3"/>
        </w:numPr>
        <w:spacing w:after="80" w:before="80" w:line="300"/>
      </w:pPr>
      <w:r>
        <w:rPr>
          <w:b/>
          <w:bCs/>
          <w:sz w:val="22"/>
          <w:szCs w:val="22"/>
        </w:rPr>
        <w:t xml:space="preserve">Every page should feel like an invitation, not a pitch.</w:t>
      </w:r>
    </w:p>
    <w:p>
      <w:pPr>
        <w:pBdr>
          <w:bottom w:val="single" w:color="6B7B5E" w:sz="6" w:space="1"/>
        </w:pBdr>
        <w:spacing w:after="360" w:before="360"/>
      </w:pPr>
      <w:r>
        <w:t xml:space="preserve"/>
      </w:r>
    </w:p>
    <w:p>
      <w:pPr>
        <w:pStyle w:val="Heading1"/>
        <w:spacing w:after="240" w:before="480"/>
      </w:pPr>
      <w:r>
        <w:rPr>
          <w:rFonts w:ascii="Georgia" w:cs="Georgia" w:eastAsia="Georgia" w:hAnsi="Georgia"/>
          <w:b/>
          <w:bCs/>
          <w:color w:val="3B3A30"/>
          <w:sz w:val="36"/>
          <w:szCs w:val="36"/>
        </w:rPr>
        <w:t xml:space="preserve">Sources</w:t>
      </w:r>
    </w:p>
    <w:p>
      <w:pPr>
        <w:spacing w:after="120" w:before="120" w:line="320"/>
      </w:pPr>
      <w:hyperlink w:history="1" r:id="rId9rl0adc5byb5kaeqg7kve">
        <w:r>
          <w:rPr>
            <w:color w:val="0066CC"/>
            <w:sz w:val="22"/>
            <w:szCs w:val="22"/>
            <w:u w:val="single"/>
          </w:rPr>
          <w:t xml:space="preserve">Bound Studio</w:t>
        </w:r>
      </w:hyperlink>
    </w:p>
    <w:p>
      <w:pPr>
        <w:spacing w:after="120" w:before="120" w:line="320"/>
      </w:pPr>
      <w:hyperlink w:history="1" r:id="rIdwkkr8zd02txhqbc01ff5b">
        <w:r>
          <w:rPr>
            <w:color w:val="0066CC"/>
            <w:sz w:val="22"/>
            <w:szCs w:val="22"/>
            <w:u w:val="single"/>
          </w:rPr>
          <w:t xml:space="preserve">ForteFemme (Midori)</w:t>
        </w:r>
      </w:hyperlink>
    </w:p>
    <w:p>
      <w:pPr>
        <w:spacing w:after="120" w:before="120" w:line="320"/>
      </w:pPr>
      <w:hyperlink w:history="1" r:id="rIdet0elcuaz_nmnnr9ximfr">
        <w:r>
          <w:rPr>
            <w:color w:val="0066CC"/>
            <w:sz w:val="22"/>
            <w:szCs w:val="22"/>
            <w:u w:val="single"/>
          </w:rPr>
          <w:t xml:space="preserve">Kasia Urbaniak — The Academy</w:t>
        </w:r>
      </w:hyperlink>
    </w:p>
    <w:p>
      <w:pPr>
        <w:spacing w:after="120" w:before="120" w:line="320"/>
      </w:pPr>
      <w:hyperlink w:history="1" r:id="rIdz7g5hupc3sk9mwzgwvb42">
        <w:r>
          <w:rPr>
            <w:color w:val="0066CC"/>
            <w:sz w:val="22"/>
            <w:szCs w:val="22"/>
            <w:u w:val="single"/>
          </w:rPr>
          <w:t xml:space="preserve">Layla Martin</w:t>
        </w:r>
      </w:hyperlink>
    </w:p>
    <w:p>
      <w:pPr>
        <w:spacing w:after="120" w:before="120" w:line="320"/>
      </w:pPr>
      <w:hyperlink w:history="1" r:id="rIdyfndjak1utwyi5wukuotd">
        <w:r>
          <w:rPr>
            <w:color w:val="0066CC"/>
            <w:sz w:val="22"/>
            <w:szCs w:val="22"/>
            <w:u w:val="single"/>
          </w:rPr>
          <w:t xml:space="preserve">Jessica Fern</w:t>
        </w:r>
      </w:hyperlink>
    </w:p>
    <w:p>
      <w:pPr>
        <w:spacing w:after="120" w:before="120" w:line="320"/>
      </w:pPr>
      <w:hyperlink w:history="1" r:id="rIdkfy8kwhbgfcdtndo2yyw2">
        <w:r>
          <w:rPr>
            <w:color w:val="0066CC"/>
            <w:sz w:val="22"/>
            <w:szCs w:val="22"/>
            <w:u w:val="single"/>
          </w:rPr>
          <w:t xml:space="preserve">Barbara Carrellas — Urban Tantra</w:t>
        </w:r>
      </w:hyperlink>
    </w:p>
    <w:p>
      <w:pPr>
        <w:spacing w:after="120" w:before="120" w:line="320"/>
      </w:pPr>
      <w:hyperlink w:history="1" r:id="rIdnbtk6jwrybh2dlz3-apio">
        <w:r>
          <w:rPr>
            <w:color w:val="0066CC"/>
            <w:sz w:val="22"/>
            <w:szCs w:val="22"/>
            <w:u w:val="single"/>
          </w:rPr>
          <w:t xml:space="preserve">Somatica Institute</w:t>
        </w:r>
      </w:hyperlink>
    </w:p>
    <w:p>
      <w:pPr>
        <w:spacing w:after="120" w:before="120" w:line="320"/>
      </w:pPr>
      <w:hyperlink w:history="1" r:id="rIdp8uh0o0kl2xegqjolgrax">
        <w:r>
          <w:rPr>
            <w:color w:val="0066CC"/>
            <w:sz w:val="22"/>
            <w:szCs w:val="22"/>
            <w:u w:val="single"/>
          </w:rPr>
          <w:t xml:space="preserve">Lee Harrington — Passion &amp; Soul</w:t>
        </w:r>
      </w:hyperlink>
    </w:p>
    <w:p>
      <w:pPr>
        <w:spacing w:after="120" w:before="120" w:line="320"/>
      </w:pPr>
      <w:hyperlink w:history="1" r:id="rIdbpv5byhhve__vaslxnnyi">
        <w:r>
          <w:rPr>
            <w:color w:val="0066CC"/>
            <w:sz w:val="22"/>
            <w:szCs w:val="22"/>
            <w:u w:val="single"/>
          </w:rPr>
          <w:t xml:space="preserve">Sunny Megatron</w:t>
        </w:r>
      </w:hyperlink>
    </w:p>
    <w:p>
      <w:pPr>
        <w:spacing w:after="0" w:before="720"/>
        <w:jc w:val="center"/>
      </w:pPr>
      <w:r>
        <w:rPr>
          <w:i/>
          <w:iCs/>
          <w:color w:val="666666"/>
          <w:sz w:val="20"/>
          <w:szCs w:val="20"/>
        </w:rPr>
        <w:t xml:space="preserve">— End of Report —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480"/>
      <w:outlineLvl w:val="0"/>
    </w:pPr>
    <w:rPr>
      <w:rFonts w:ascii="Georgia" w:cs="Georgia" w:eastAsia="Georgia" w:hAnsi="Georgia"/>
      <w:b/>
      <w:bCs/>
      <w:color w:val="3B3A30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80" w:before="360"/>
      <w:outlineLvl w:val="1"/>
    </w:pPr>
    <w:rPr>
      <w:rFonts w:ascii="Georgia" w:cs="Georgia" w:eastAsia="Georgia" w:hAnsi="Georgia"/>
      <w:b/>
      <w:bCs/>
      <w:color w:val="A0522D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40"/>
      <w:outlineLvl w:val="2"/>
    </w:pPr>
    <w:rPr>
      <w:rFonts w:ascii="Georgia" w:cs="Georgia" w:eastAsia="Georgia" w:hAnsi="Georgia"/>
      <w:b/>
      <w:bCs/>
      <w:color w:val="3B3A3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9rl0adc5byb5kaeqg7kve" Type="http://schemas.openxmlformats.org/officeDocument/2006/relationships/hyperlink" Target="https://www.boundstudiolancaster.com/" TargetMode="External"/><Relationship Id="rIdwkkr8zd02txhqbc01ff5b" Type="http://schemas.openxmlformats.org/officeDocument/2006/relationships/hyperlink" Target="https://www.fortefemme.com/" TargetMode="External"/><Relationship Id="rIdet0elcuaz_nmnnr9ximfr" Type="http://schemas.openxmlformats.org/officeDocument/2006/relationships/hyperlink" Target="https://www.kasiaurbaniak.com/the-academy" TargetMode="External"/><Relationship Id="rIdz7g5hupc3sk9mwzgwvb42" Type="http://schemas.openxmlformats.org/officeDocument/2006/relationships/hyperlink" Target="https://laylamartin.com/" TargetMode="External"/><Relationship Id="rIdyfndjak1utwyi5wukuotd" Type="http://schemas.openxmlformats.org/officeDocument/2006/relationships/hyperlink" Target="https://www.jessicafern.com/" TargetMode="External"/><Relationship Id="rIdkfy8kwhbgfcdtndo2yyw2" Type="http://schemas.openxmlformats.org/officeDocument/2006/relationships/hyperlink" Target="https://barbaracarrellas.com/" TargetMode="External"/><Relationship Id="rIdnbtk6jwrybh2dlz3-apio" Type="http://schemas.openxmlformats.org/officeDocument/2006/relationships/hyperlink" Target="https://www.somaticainstitute.com/" TargetMode="External"/><Relationship Id="rIdp8uh0o0kl2xegqjolgrax" Type="http://schemas.openxmlformats.org/officeDocument/2006/relationships/hyperlink" Target="https://www.passionandsoul.com/" TargetMode="External"/><Relationship Id="rIdbpv5byhhve__vaslxnnyi" Type="http://schemas.openxmlformats.org/officeDocument/2006/relationships/hyperlink" Target="https://sunnymegatron.com/" TargetMode="External"/><Relationship Id="rId16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Competitive Research — The Soft Power Collective</dc:title>
  <dc:creator>The Soft Power Collective</dc:creator>
  <cp:lastModifiedBy>Un-named</cp:lastModifiedBy>
  <cp:revision>1</cp:revision>
  <dcterms:created xsi:type="dcterms:W3CDTF">2026-04-15T18:01:25.454Z</dcterms:created>
  <dcterms:modified xsi:type="dcterms:W3CDTF">2026-04-15T18:01:25.455Z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