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Audit Scope and </w:t>
      </w:r>
      <w:r w:rsidDel="00000000" w:rsidR="00000000" w:rsidRPr="00000000">
        <w:rPr>
          <w:rFonts w:ascii="Google Sans" w:cs="Google Sans" w:eastAsia="Google Sans" w:hAnsi="Google Sans"/>
          <w:b w:val="1"/>
          <w:sz w:val="24"/>
          <w:szCs w:val="24"/>
          <w:rtl w:val="0"/>
        </w:rPr>
        <w:t xml:space="preserve">Goals</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3">
      <w:pPr>
        <w:pStyle w:val="Subtitle"/>
        <w:rPr>
          <w:rFonts w:ascii="Google Sans" w:cs="Google Sans" w:eastAsia="Google Sans" w:hAnsi="Google Sans"/>
          <w:color w:val="434343"/>
          <w:sz w:val="24"/>
          <w:szCs w:val="24"/>
        </w:rPr>
      </w:pPr>
      <w:bookmarkStart w:colFirst="0" w:colLast="0" w:name="_ukk5mpi2if5r" w:id="0"/>
      <w:bookmarkEnd w:id="0"/>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Scope: </w:t>
      </w:r>
      <w:r w:rsidDel="00000000" w:rsidR="00000000" w:rsidRPr="00000000">
        <w:rPr>
          <w:rFonts w:ascii="Google Sans" w:cs="Google Sans" w:eastAsia="Google Sans" w:hAnsi="Google Sans"/>
          <w:sz w:val="24"/>
          <w:szCs w:val="24"/>
          <w:rtl w:val="0"/>
        </w:rPr>
        <w:t xml:space="preserve">The internal IT audit will assess the following:</w:t>
      </w:r>
    </w:p>
    <w:p w:rsidR="00000000" w:rsidDel="00000000" w:rsidP="00000000" w:rsidRDefault="00000000" w:rsidRPr="00000000" w14:paraId="00000005">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Assess user permissions</w:t>
      </w:r>
    </w:p>
    <w:p w:rsidR="00000000" w:rsidDel="00000000" w:rsidP="00000000" w:rsidRDefault="00000000" w:rsidRPr="00000000" w14:paraId="00000006">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Identify existing controls, procedures, and system protocols</w:t>
      </w:r>
    </w:p>
    <w:p w:rsidR="00000000" w:rsidDel="00000000" w:rsidP="00000000" w:rsidRDefault="00000000" w:rsidRPr="00000000" w14:paraId="00000007">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for technology currently in use</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Goals: </w:t>
      </w:r>
      <w:r w:rsidDel="00000000" w:rsidR="00000000" w:rsidRPr="00000000">
        <w:rPr>
          <w:rFonts w:ascii="Google Sans" w:cs="Google Sans" w:eastAsia="Google Sans" w:hAnsi="Google Sans"/>
          <w:sz w:val="24"/>
          <w:szCs w:val="24"/>
          <w:rtl w:val="0"/>
        </w:rPr>
        <w:t xml:space="preserve">The goals for the internal IT audit are:</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Adhere to the NIST Cybersecurity Framework (CSF)</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Establish policies and procedures to ensure compliance with regulations</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Risk </w:t>
      </w:r>
      <w:r w:rsidDel="00000000" w:rsidR="00000000" w:rsidRPr="00000000">
        <w:rPr>
          <w:rFonts w:ascii="Google Sans" w:cs="Google Sans" w:eastAsia="Google Sans" w:hAnsi="Google Sans"/>
          <w:b w:val="1"/>
          <w:sz w:val="24"/>
          <w:szCs w:val="24"/>
          <w:rtl w:val="0"/>
        </w:rPr>
        <w:t xml:space="preserve">Assessment</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24">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2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 protected storage of customer, vendor, organizational data</w:t>
      </w:r>
    </w:p>
    <w:p w:rsidR="00000000" w:rsidDel="00000000" w:rsidP="00000000" w:rsidRDefault="00000000" w:rsidRPr="00000000" w14:paraId="00000026">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proper controls are not in place and the organization may not be compliant with U.S. and international compliance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2A">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1-10, the risk score is 8, which is fairly high. This is due to a lack of controls and adherence to necessary compliance regulations and standards.</w:t>
      </w:r>
    </w:p>
    <w:p w:rsidR="00000000" w:rsidDel="00000000" w:rsidP="00000000" w:rsidRDefault="00000000" w:rsidRPr="00000000" w14:paraId="0000002C">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likelihood of a lost asset or fines from governing bodies is high because the organization does not have all of the necessary controls in place and is not adhering to required regulations and standards related to keeping PII data private.</w:t>
      </w:r>
    </w:p>
    <w:p w:rsidR="00000000" w:rsidDel="00000000" w:rsidP="00000000" w:rsidRDefault="00000000" w:rsidRPr="00000000" w14:paraId="0000002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Controls </w:t>
      </w:r>
      <w:r w:rsidDel="00000000" w:rsidR="00000000" w:rsidRPr="00000000">
        <w:rPr>
          <w:rFonts w:ascii="Google Sans" w:cs="Google Sans" w:eastAsia="Google Sans" w:hAnsi="Google Sans"/>
          <w:b w:val="1"/>
          <w:sz w:val="24"/>
          <w:szCs w:val="24"/>
          <w:rtl w:val="0"/>
        </w:rPr>
        <w:t xml:space="preserve">Assessment</w: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1740"/>
        <w:gridCol w:w="1605"/>
        <w:tblGridChange w:id="0">
          <w:tblGrid>
            <w:gridCol w:w="2490"/>
            <w:gridCol w:w="3465"/>
            <w:gridCol w:w="1740"/>
            <w:gridCol w:w="1605"/>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10"/>
        <w:gridCol w:w="1800"/>
        <w:gridCol w:w="1650"/>
        <w:tblGridChange w:id="0">
          <w:tblGrid>
            <w:gridCol w:w="2460"/>
            <w:gridCol w:w="3510"/>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4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(i.e.,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(i.e.,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bl>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25"/>
        <w:gridCol w:w="1800"/>
        <w:gridCol w:w="1605"/>
        <w:tblGridChange w:id="0">
          <w:tblGrid>
            <w:gridCol w:w="2460"/>
            <w:gridCol w:w="3525"/>
            <w:gridCol w:w="1800"/>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64">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6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F">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w:t>
      </w:r>
      <w:r w:rsidDel="00000000" w:rsidR="00000000" w:rsidRPr="00000000">
        <w:rPr>
          <w:rFonts w:ascii="Google Sans" w:cs="Google Sans" w:eastAsia="Google Sans" w:hAnsi="Google Sans"/>
          <w:b w:val="1"/>
          <w:sz w:val="24"/>
          <w:szCs w:val="24"/>
          <w:rtl w:val="0"/>
        </w:rPr>
        <w:t xml:space="preserve">Checklist</w:t>
      </w:r>
      <w:r w:rsidDel="00000000" w:rsidR="00000000" w:rsidRPr="00000000">
        <w:rPr>
          <w:rtl w:val="0"/>
        </w:rPr>
      </w:r>
    </w:p>
    <w:p w:rsidR="00000000" w:rsidDel="00000000" w:rsidP="00000000" w:rsidRDefault="00000000" w:rsidRPr="00000000" w14:paraId="0000009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91">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GDPR because we conduct business and collect personal information from people in the EU.</w:t>
      </w:r>
    </w:p>
    <w:p w:rsidR="00000000" w:rsidDel="00000000" w:rsidP="00000000" w:rsidRDefault="00000000" w:rsidRPr="00000000" w14:paraId="00000094">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6">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PCI DSS because we store, accept, process, and transmit credit card information in person and online.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