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2AC6" w:rsidRDefault="00AD646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052AC6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>
            <w:pPr>
              <w:spacing w:before="40"/>
              <w:rPr>
                <w:b/>
              </w:rPr>
            </w:pPr>
            <w:r>
              <w:rPr>
                <w:b/>
              </w:rPr>
              <w:t>Actively and meaningfully engage the public to generate buy-in and project support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>
            <w:pPr>
              <w:spacing w:before="40"/>
            </w:pPr>
            <w:r>
              <w:t>Conduct 10 community town hall meetings within the first six months to gather public feedback and address concerns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>
            <w:pPr>
              <w:spacing w:before="40"/>
            </w:pPr>
            <w:r>
              <w:t>Achieve a 70% satisfaction rate from community members on the proposed bus line locations through surveys conducted post-meetings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</w:t>
            </w:r>
            <w:r>
              <w:rPr>
                <w:color w:val="1967D2"/>
                <w:sz w:val="20"/>
                <w:szCs w:val="20"/>
                <w:shd w:val="clear" w:color="auto" w:fill="E8F0FE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>
            <w:pPr>
              <w:spacing w:before="40"/>
            </w:pPr>
            <w:r>
              <w:t>Secure 1,000 signatures on a petition on supporting the new bus lines within the first year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</w:tbl>
    <w:p w:rsidR="00052AC6" w:rsidRDefault="00052AC6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052AC6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  <w:rPr>
                <w:b/>
              </w:rPr>
            </w:pPr>
            <w:r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>
            <w:pPr>
              <w:spacing w:before="40"/>
            </w:pPr>
            <w:r>
              <w:t>Ensure that 80% of the new bus stops are within a 10-minute walk for at least 50% of the city’s population within the first 18 months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Decrease average wait times for buses to 10 minutes or less during peak hours by the end of the project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</w:t>
            </w:r>
            <w:r>
              <w:rPr>
                <w:color w:val="C5221F"/>
                <w:sz w:val="20"/>
                <w:szCs w:val="20"/>
                <w:shd w:val="clear" w:color="auto" w:fill="FCE8E6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Connect at least 15 key public resource facilities and neighboring suburbs to downtown via the new bus lines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</w:tbl>
    <w:p w:rsidR="00052AC6" w:rsidRDefault="00052AC6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052AC6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  <w:rPr>
                <w:b/>
              </w:rPr>
            </w:pPr>
            <w:r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Launch a marketing campaign that reaches 50,000 residents via social media, local newspapers, and community events within the first year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Increase public transportation ridership by 20% within the first year after the launch of the new bus lines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</w:t>
            </w:r>
            <w:r>
              <w:rPr>
                <w:color w:val="E37400"/>
                <w:sz w:val="20"/>
                <w:szCs w:val="20"/>
                <w:shd w:val="clear" w:color="auto" w:fill="FEF7E0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Achieve 30% increase in monthly pass sales within six months of the new bus lines being operational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</w:tbl>
    <w:p w:rsidR="00052AC6" w:rsidRDefault="00052AC6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052AC6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</w:t>
            </w: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  <w:rPr>
                <w:b/>
              </w:rPr>
            </w:pPr>
            <w:r>
              <w:rPr>
                <w:b/>
              </w:rPr>
              <w:t>Provide a reliable and consistent public transportation service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Maintain a 95% on-time arrival rate for all buses over a six-month period post-launch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Reduce the number of bus service complaints by 50% within the first year of operation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  <w:tr w:rsidR="00052AC6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AD646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</w:t>
            </w:r>
            <w:r>
              <w:rPr>
                <w:color w:val="188038"/>
                <w:sz w:val="20"/>
                <w:szCs w:val="20"/>
                <w:shd w:val="clear" w:color="auto" w:fill="E6F4EA"/>
              </w:rPr>
              <w:t>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52AC6" w:rsidRDefault="00AD6460" w:rsidP="00AD6460">
            <w:pPr>
              <w:spacing w:before="40"/>
            </w:pPr>
            <w:r>
              <w:t>Implement real-time bus tracking and mobile alerts for 100% of the new bus lines within the first year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2AC6" w:rsidRDefault="00052AC6">
            <w:pPr>
              <w:spacing w:line="240" w:lineRule="auto"/>
            </w:pPr>
          </w:p>
        </w:tc>
      </w:tr>
    </w:tbl>
    <w:p w:rsidR="00052AC6" w:rsidRDefault="00052AC6"/>
    <w:p w:rsidR="00052AC6" w:rsidRDefault="00052AC6">
      <w:bookmarkStart w:id="1" w:name="_GoBack"/>
      <w:bookmarkEnd w:id="1"/>
    </w:p>
    <w:sectPr w:rsidR="00052AC6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C6"/>
    <w:rsid w:val="00052AC6"/>
    <w:rsid w:val="00A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1D1A"/>
  <w15:docId w15:val="{4BFBE4BD-643A-4953-B980-5069652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2</cp:revision>
  <dcterms:created xsi:type="dcterms:W3CDTF">2024-10-01T05:36:00Z</dcterms:created>
  <dcterms:modified xsi:type="dcterms:W3CDTF">2024-10-01T06:14:00Z</dcterms:modified>
</cp:coreProperties>
</file>