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Semester</w:t>
            </w:r>
          </w:p>
        </w:tc>
        <w:tc>
          <w:tcPr>
            <w:tcW w:type="dxa" w:w="4680"/>
          </w:tcPr>
          <w:p>
            <w:r>
              <w:rPr>
                <w:rFonts w:ascii="Calibri" w:hAnsi="Calibri"/>
                <w:b w:val="0"/>
                <w:color w:val="000000"/>
                <w:sz w:val="21"/>
              </w:rPr>
              <w:t>B.E. Semester VII – CMPN</w:t>
            </w:r>
          </w:p>
        </w:tc>
      </w:tr>
      <w:tr>
        <w:tc>
          <w:tcPr>
            <w:tcW w:type="dxa" w:w="4680"/>
            <w:shd w:fill="D9E2F3"/>
          </w:tcPr>
          <w:p>
            <w:r>
              <w:rPr>
                <w:rFonts w:ascii="Calibri" w:hAnsi="Calibri"/>
                <w:b/>
                <w:color w:val="000000"/>
                <w:sz w:val="21"/>
              </w:rPr>
              <w:t>Subject</w:t>
            </w:r>
          </w:p>
        </w:tc>
        <w:tc>
          <w:tcPr>
            <w:tcW w:type="dxa" w:w="4680"/>
          </w:tcPr>
          <w:p>
            <w:r>
              <w:rPr>
                <w:rFonts w:ascii="Calibri" w:hAnsi="Calibri"/>
                <w:b w:val="0"/>
                <w:color w:val="000000"/>
                <w:sz w:val="21"/>
              </w:rPr>
              <w:t>DevOps</w:t>
            </w:r>
          </w:p>
        </w:tc>
      </w:tr>
      <w:tr>
        <w:tc>
          <w:tcPr>
            <w:tcW w:type="dxa" w:w="4680"/>
            <w:shd w:fill="D9E2F3"/>
          </w:tcPr>
          <w:p>
            <w:r>
              <w:rPr>
                <w:rFonts w:ascii="Calibri" w:hAnsi="Calibri"/>
                <w:b/>
                <w:color w:val="000000"/>
                <w:sz w:val="21"/>
              </w:rPr>
              <w:t>Subject Professor In-charge</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Assisting Teachers</w:t>
            </w:r>
          </w:p>
        </w:tc>
        <w:tc>
          <w:tcPr>
            <w:tcW w:type="dxa" w:w="4680"/>
          </w:tcPr>
          <w:p>
            <w:r>
              <w:rPr>
                <w:rFonts w:ascii="Calibri" w:hAnsi="Calibri"/>
                <w:b w:val="0"/>
                <w:color w:val="000000"/>
                <w:sz w:val="21"/>
              </w:rPr>
              <w:t>Dr. Snehal Andhare</w:t>
            </w:r>
          </w:p>
        </w:tc>
      </w:tr>
      <w:tr>
        <w:tc>
          <w:tcPr>
            <w:tcW w:type="dxa" w:w="4680"/>
            <w:shd w:fill="D9E2F3"/>
          </w:tcPr>
          <w:p>
            <w:r>
              <w:rPr>
                <w:rFonts w:ascii="Calibri" w:hAnsi="Calibri"/>
                <w:b/>
                <w:color w:val="000000"/>
                <w:sz w:val="21"/>
              </w:rPr>
              <w:t>Laboratory</w:t>
            </w:r>
          </w:p>
        </w:tc>
        <w:tc>
          <w:tcPr>
            <w:tcW w:type="dxa" w:w="4680"/>
          </w:tcPr>
          <w:p>
            <w:r>
              <w:rPr>
                <w:rFonts w:ascii="Calibri" w:hAnsi="Calibri"/>
                <w:b w:val="0"/>
                <w:color w:val="000000"/>
                <w:sz w:val="21"/>
              </w:rPr>
              <w:t>M310B</w:t>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Student Name</w:t>
            </w:r>
          </w:p>
        </w:tc>
        <w:tc>
          <w:tcPr>
            <w:tcW w:type="dxa" w:w="4680"/>
          </w:tcPr>
          <w:p>
            <w:r>
              <w:rPr>
                <w:rFonts w:ascii="Calibri" w:hAnsi="Calibri"/>
                <w:b w:val="0"/>
                <w:color w:val="000000"/>
                <w:sz w:val="21"/>
              </w:rPr>
              <w:t>Hasnain khan</w:t>
            </w:r>
          </w:p>
        </w:tc>
      </w:tr>
      <w:tr>
        <w:tc>
          <w:tcPr>
            <w:tcW w:type="dxa" w:w="4680"/>
            <w:shd w:fill="D9E2F3"/>
          </w:tcPr>
          <w:p>
            <w:r>
              <w:rPr>
                <w:rFonts w:ascii="Calibri" w:hAnsi="Calibri"/>
                <w:b/>
                <w:color w:val="000000"/>
                <w:sz w:val="21"/>
              </w:rPr>
              <w:t>Roll Number</w:t>
            </w:r>
          </w:p>
        </w:tc>
        <w:tc>
          <w:tcPr>
            <w:tcW w:type="dxa" w:w="4680"/>
          </w:tcPr>
          <w:p>
            <w:r>
              <w:rPr>
                <w:rFonts w:ascii="Calibri" w:hAnsi="Calibri"/>
                <w:b w:val="0"/>
                <w:color w:val="000000"/>
                <w:sz w:val="21"/>
              </w:rPr>
              <w:t>23102A0075</w:t>
            </w:r>
          </w:p>
        </w:tc>
      </w:tr>
      <w:tr>
        <w:tc>
          <w:tcPr>
            <w:tcW w:type="dxa" w:w="4680"/>
            <w:shd w:fill="D9E2F3"/>
          </w:tcPr>
          <w:p>
            <w:r>
              <w:rPr>
                <w:rFonts w:ascii="Calibri" w:hAnsi="Calibri"/>
                <w:b/>
                <w:color w:val="000000"/>
                <w:sz w:val="21"/>
              </w:rPr>
              <w:t>Grade and Subject Teacher's Signature</w:t>
            </w:r>
          </w:p>
        </w:tc>
        <w:tc>
          <w:tcPr>
            <w:tcW w:type="dxa" w:w="4680"/>
          </w:tcPr>
          <w:p>
            <w:r>
              <w:rPr>
                <w:rFonts w:ascii="Calibri" w:hAnsi="Calibri"/>
                <w:b w:val="0"/>
                <w:color w:val="000000"/>
                <w:sz w:val="21"/>
              </w:rPr>
            </w:r>
          </w:p>
        </w:tc>
      </w:tr>
    </w:tbl>
    <w:p>
      <w:pPr>
        <w:spacing w:before="60" w:after="60"/>
      </w:pP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rFonts w:ascii="Calibri" w:hAnsi="Calibri"/>
                <w:b/>
                <w:color w:val="000000"/>
                <w:sz w:val="21"/>
              </w:rPr>
              <w:t>Experiment Number</w:t>
            </w:r>
          </w:p>
        </w:tc>
        <w:tc>
          <w:tcPr>
            <w:tcW w:type="dxa" w:w="4680"/>
          </w:tcPr>
          <w:p>
            <w:r>
              <w:rPr>
                <w:rFonts w:ascii="Calibri" w:hAnsi="Calibri"/>
                <w:b/>
                <w:color w:val="1A3A5C"/>
                <w:sz w:val="22"/>
              </w:rPr>
              <w:t>1</w:t>
            </w:r>
          </w:p>
        </w:tc>
      </w:tr>
      <w:tr>
        <w:tc>
          <w:tcPr>
            <w:tcW w:type="dxa" w:w="4680"/>
            <w:shd w:fill="D9E2F3"/>
          </w:tcPr>
          <w:p>
            <w:r>
              <w:rPr>
                <w:rFonts w:ascii="Calibri" w:hAnsi="Calibri"/>
                <w:b/>
                <w:color w:val="000000"/>
                <w:sz w:val="21"/>
              </w:rPr>
              <w:t>Experiment Title</w:t>
            </w:r>
          </w:p>
        </w:tc>
        <w:tc>
          <w:tcPr>
            <w:tcW w:type="dxa" w:w="4680"/>
          </w:tcPr>
          <w:p>
            <w:r>
              <w:rPr>
                <w:rFonts w:ascii="Calibri" w:hAnsi="Calibri"/>
                <w:b/>
                <w:color w:val="1A3A5C"/>
                <w:sz w:val="22"/>
              </w:rPr>
              <w:t>Problem Definition and Scope</w:t>
            </w:r>
          </w:p>
        </w:tc>
      </w:tr>
      <w:tr>
        <w:tc>
          <w:tcPr>
            <w:tcW w:type="dxa" w:w="4680"/>
            <w:shd w:fill="D9E2F3"/>
          </w:tcPr>
          <w:p>
            <w:r>
              <w:rPr>
                <w:rFonts w:ascii="Calibri" w:hAnsi="Calibri"/>
                <w:b/>
                <w:color w:val="000000"/>
                <w:sz w:val="21"/>
              </w:rPr>
              <w:t>Objectives</w:t>
              <w:br/>
              <w:t>(Skill Set / Knowledge Tested / Imparted)</w:t>
            </w:r>
          </w:p>
        </w:tc>
        <w:tc>
          <w:tcPr>
            <w:tcW w:type="dxa" w:w="4680"/>
          </w:tcPr>
          <w:p>
            <w:r>
              <w:rPr>
                <w:rFonts w:ascii="Calibri" w:hAnsi="Calibri"/>
                <w:b w:val="0"/>
                <w:color w:val="000000"/>
                <w:sz w:val="20"/>
              </w:rPr>
              <w:t>To study the real-time need for the Travel Insurance Claim System, identify target users, existing pain points, stakeholders, constraints, and measurable success criteria. Freeze a small 15-feature MVP scope.</w:t>
            </w:r>
          </w:p>
        </w:tc>
      </w:tr>
      <w:tr>
        <w:tc>
          <w:tcPr>
            <w:tcW w:type="dxa" w:w="4680"/>
            <w:shd w:fill="D9E2F3"/>
          </w:tcPr>
          <w:p>
            <w:r>
              <w:rPr>
                <w:rFonts w:ascii="Calibri" w:hAnsi="Calibri"/>
                <w:b/>
                <w:color w:val="000000"/>
                <w:sz w:val="21"/>
              </w:rPr>
              <w:t>Description</w:t>
            </w:r>
          </w:p>
        </w:tc>
        <w:tc>
          <w:tcPr>
            <w:tcW w:type="dxa" w:w="4680"/>
          </w:tcPr>
          <w:p/>
          <w:p>
            <w:pPr>
              <w:spacing w:before="80" w:after="80"/>
              <w:shd w:val="clear" w:fill="F0F4F8"/>
            </w:pPr>
            <w:r>
              <w:rPr>
                <w:b/>
                <w:color w:val="1A3A5C"/>
                <w:sz w:val="19"/>
              </w:rPr>
              <w:t xml:space="preserve">[Title] </w:t>
            </w:r>
            <w:r>
              <w:rPr>
                <w:sz w:val="19"/>
              </w:rPr>
              <w:t>Project Title: Travel Insurance Claim System — DevOps Lifecycle</w:t>
            </w:r>
          </w:p>
          <w:p>
            <w:pPr>
              <w:spacing w:before="80" w:after="80"/>
              <w:shd w:val="clear" w:fill="F0F4F8"/>
            </w:pPr>
            <w:r>
              <w:rPr>
                <w:b/>
                <w:color w:val="1A3A5C"/>
                <w:sz w:val="19"/>
              </w:rPr>
              <w:t xml:space="preserve">[Problem Definition] </w:t>
            </w:r>
            <w:r>
              <w:rPr>
                <w:sz w:val="19"/>
              </w:rPr>
              <w:t>1. Problem Statement:</w:t>
              <w:br/>
              <w:t>Travel insurance claims have traditionally suffered from paper-based or manual email submissions, unverified data entry, and opaque communication. Reviewers lack structured pending queues, and customers have no visibility into claim status. Without automated DevOps pipelines, software updates risk configuration drift, manual deployment faults, and regression errors.</w:t>
            </w:r>
          </w:p>
          <w:p>
            <w:pPr>
              <w:spacing w:before="80" w:after="80"/>
              <w:shd w:val="clear" w:fill="F0F4F8"/>
            </w:pPr>
            <w:r>
              <w:rPr>
                <w:b/>
                <w:color w:val="1A3A5C"/>
                <w:sz w:val="19"/>
              </w:rPr>
              <w:t xml:space="preserve">[Stakeholders] </w:t>
            </w:r>
            <w:r>
              <w:rPr>
                <w:sz w:val="19"/>
              </w:rPr>
              <w:t>2. Real-World Need &amp; Target Users:</w:t>
              <w:br/>
              <w:t>* Customer: Submits claims with policy and travel receipts; tracks live status.</w:t>
              <w:br/>
              <w:t>* Reviewer: Validates claim documents; performs one-click approval or rejection with mandatory reason.</w:t>
              <w:br/>
              <w:t>* DevOps/QA: Automates unit/E2E testing, container builds, and deployment rollback.</w:t>
            </w:r>
          </w:p>
          <w:p>
            <w:pPr>
              <w:spacing w:before="80" w:after="80"/>
              <w:shd w:val="clear" w:fill="F0F4F8"/>
            </w:pPr>
            <w:r>
              <w:rPr>
                <w:b/>
                <w:color w:val="1A3A5C"/>
                <w:sz w:val="19"/>
              </w:rPr>
              <w:t xml:space="preserve">[Scope] </w:t>
            </w:r>
            <w:r>
              <w:rPr>
                <w:sz w:val="19"/>
              </w:rPr>
              <w:t>3. 15-Feature MVP Scope:</w:t>
              <w:br/>
              <w:t>1. Customer Claim Submission  2. Client-Side Validation  3. Server-Side Bean Validation  4. Unique Claim ID Generation  5. PENDING Status Lifecycle  6. Customer Status Tracking  7. Reviewer Pending Queue  8. Claim Inspection View  9. Approval Action  10. Rejection with Reason  11. Claim History Audit Log  12. In-Memory H2 DB  13. Maven CI Compilation &amp; Tests  14. Multi-Stage Docker Container  15. Ansible Provisioning &amp; Rollback.</w:t>
            </w:r>
          </w:p>
        </w:tc>
      </w:tr>
      <w:tr>
        <w:tc>
          <w:tcPr>
            <w:tcW w:type="dxa" w:w="4680"/>
            <w:shd w:fill="D9E2F3"/>
          </w:tcPr>
          <w:p>
            <w:r>
              <w:rPr>
                <w:rFonts w:ascii="Calibri" w:hAnsi="Calibri"/>
                <w:b/>
                <w:color w:val="000000"/>
                <w:sz w:val="21"/>
              </w:rPr>
              <w:t>Output</w:t>
            </w:r>
          </w:p>
        </w:tc>
        <w:tc>
          <w:tcPr>
            <w:tcW w:type="dxa" w:w="4680"/>
          </w:tcPr>
          <w:p/>
          <w:p>
            <w:pPr>
              <w:spacing w:before="160" w:after="40"/>
              <w:jc w:val="center"/>
            </w:pPr>
            <w:r>
              <w:drawing>
                <wp:inline xmlns:a="http://schemas.openxmlformats.org/drawingml/2006/main" xmlns:pic="http://schemas.openxmlformats.org/drawingml/2006/picture">
                  <wp:extent cx="5120640" cy="3765998"/>
                  <wp:docPr id="1" name="Picture 1"/>
                  <wp:cNvGraphicFramePr>
                    <a:graphicFrameLocks noChangeAspect="1"/>
                  </wp:cNvGraphicFramePr>
                  <a:graphic>
                    <a:graphicData uri="http://schemas.openxmlformats.org/drawingml/2006/picture">
                      <pic:pic>
                        <pic:nvPicPr>
                          <pic:cNvPr id="0" name="task01_problem_scope_workflow.png"/>
                          <pic:cNvPicPr/>
                        </pic:nvPicPr>
                        <pic:blipFill>
                          <a:blip r:embed="rId10"/>
                          <a:stretch>
                            <a:fillRect/>
                          </a:stretch>
                        </pic:blipFill>
                        <pic:spPr>
                          <a:xfrm>
                            <a:off x="0" y="0"/>
                            <a:ext cx="5120640" cy="3765998"/>
                          </a:xfrm>
                          <a:prstGeom prst="rect"/>
                        </pic:spPr>
                      </pic:pic>
                    </a:graphicData>
                  </a:graphic>
                </wp:inline>
              </w:drawing>
            </w:r>
          </w:p>
          <w:p>
            <w:pPr>
              <w:spacing w:after="60"/>
              <w:jc w:val="center"/>
            </w:pPr>
            <w:r>
              <w:rPr>
                <w:b/>
                <w:color w:val="1A3A5C"/>
                <w:sz w:val="19"/>
              </w:rPr>
              <w:t>Figure 1.1: System Architecture &amp; 15-Feature MVP Scope Boundary Diagram</w:t>
            </w:r>
          </w:p>
          <w:p>
            <w:pPr>
              <w:spacing w:after="160"/>
            </w:pPr>
            <w:r>
              <w:rPr>
                <w:i/>
                <w:sz w:val="18"/>
              </w:rPr>
              <w:t>Observation: Visual architecture depicting customer and reviewer portals communicating over REST with Spring Boot, persisting to H2 DB, and governed by Git, Jenkins, Docker, and Ansible automation.</w:t>
            </w:r>
          </w:p>
        </w:tc>
      </w:tr>
      <w:tr>
        <w:tc>
          <w:tcPr>
            <w:tcW w:type="dxa" w:w="4680"/>
            <w:shd w:fill="D9E2F3"/>
          </w:tcPr>
          <w:p>
            <w:r>
              <w:rPr>
                <w:rFonts w:ascii="Calibri" w:hAnsi="Calibri"/>
                <w:b/>
                <w:color w:val="000000"/>
                <w:sz w:val="21"/>
              </w:rPr>
              <w:t>Conclusion</w:t>
            </w:r>
          </w:p>
        </w:tc>
        <w:tc>
          <w:tcPr>
            <w:tcW w:type="dxa" w:w="4680"/>
          </w:tcPr>
          <w:p>
            <w:r>
              <w:rPr>
                <w:rFonts w:ascii="Calibri" w:hAnsi="Calibri"/>
                <w:b w:val="0"/>
                <w:color w:val="000000"/>
                <w:sz w:val="20"/>
              </w:rPr>
              <w:t>The problem statement, target users, stakeholders, and 15-feature MVP scope for the Travel Insurance Claim System were successfully defined, establishing clear functional and DevOps boundaries.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787878"/>
        <w:sz w:val="17"/>
      </w:rPr>
      <w:t>Lab Work — Course _DevOps_ — Semester _7_ — Program _CMPN BE_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