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FE427">
      <w:pPr>
        <w:pStyle w:val="2"/>
        <w:spacing w:before="0" w:beforeAutospacing="0" w:after="0" w:afterAutospacing="0" w:line="360" w:lineRule="auto"/>
        <w:rPr>
          <w:rFonts w:hint="eastAsia" w:ascii="仿宋" w:hAnsi="仿宋" w:eastAsia="仿宋" w:cs="仿宋"/>
          <w:color w:val="auto"/>
          <w:sz w:val="24"/>
          <w:szCs w:val="24"/>
        </w:rPr>
      </w:pPr>
      <w:r>
        <w:rPr>
          <w:rFonts w:hint="eastAsia" w:ascii="仿宋" w:hAnsi="仿宋" w:eastAsia="仿宋" w:cs="仿宋"/>
          <w:color w:val="auto"/>
          <w:sz w:val="32"/>
          <w:szCs w:val="32"/>
        </w:rPr>
        <w:t>委托代理合同</w:t>
      </w:r>
      <w:bookmarkStart w:id="0" w:name="_GoBack"/>
      <w:bookmarkEnd w:id="0"/>
    </w:p>
    <w:p w14:paraId="1BB22A8C">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b/>
          <w:color w:val="auto"/>
          <w:sz w:val="24"/>
          <w:szCs w:val="24"/>
        </w:rPr>
        <w:t>甲方（委托方）：</w:t>
      </w:r>
      <w:r>
        <w:rPr>
          <w:rFonts w:hint="eastAsia" w:ascii="仿宋" w:hAnsi="仿宋" w:eastAsia="仿宋" w:cs="仿宋"/>
          <w:color w:val="auto"/>
          <w:kern w:val="0"/>
          <w:sz w:val="24"/>
          <w:szCs w:val="24"/>
          <w:lang w:val="en-US" w:eastAsia="zh-CN" w:bidi="ar"/>
        </w:rPr>
        <w:t>张长松</w:t>
      </w:r>
    </w:p>
    <w:p w14:paraId="60000F2A">
      <w:pPr>
        <w:keepNext w:val="0"/>
        <w:keepLines w:val="0"/>
        <w:widowControl/>
        <w:suppressLineNumbers w:val="0"/>
        <w:jc w:val="left"/>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身份号</w:t>
      </w:r>
      <w:r>
        <w:rPr>
          <w:rFonts w:hint="eastAsia" w:ascii="仿宋" w:hAnsi="仿宋" w:eastAsia="仿宋" w:cs="仿宋"/>
          <w:color w:val="auto"/>
          <w:sz w:val="24"/>
          <w:szCs w:val="24"/>
        </w:rPr>
        <w:t>码</w:t>
      </w:r>
      <w:r>
        <w:rPr>
          <w:rFonts w:hint="eastAsia" w:ascii="仿宋" w:hAnsi="仿宋" w:eastAsia="仿宋" w:cs="仿宋"/>
          <w:color w:val="auto"/>
          <w:sz w:val="24"/>
          <w:szCs w:val="24"/>
        </w:rPr>
        <w:t>：</w:t>
      </w:r>
      <w:r>
        <w:rPr>
          <w:rFonts w:hint="eastAsia" w:ascii="仿宋" w:hAnsi="仿宋" w:eastAsia="仿宋" w:cs="仿宋"/>
          <w:color w:val="auto"/>
          <w:kern w:val="0"/>
          <w:sz w:val="24"/>
          <w:szCs w:val="24"/>
          <w:lang w:val="en-US" w:eastAsia="zh-CN" w:bidi="ar"/>
        </w:rPr>
        <w:t>:</w:t>
      </w:r>
      <w:r>
        <w:rPr>
          <w:rFonts w:hint="eastAsia" w:ascii="仿宋" w:hAnsi="仿宋" w:eastAsia="仿宋" w:cs="仿宋"/>
          <w:color w:val="auto"/>
          <w:kern w:val="0"/>
          <w:sz w:val="24"/>
          <w:szCs w:val="24"/>
          <w:lang w:val="en-US" w:eastAsia="zh-CN" w:bidi="ar"/>
        </w:rPr>
        <w:t>131082197404158514</w:t>
      </w:r>
    </w:p>
    <w:p w14:paraId="738C8B16">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乙方（服务方）：</w:t>
      </w:r>
      <w:r>
        <w:rPr>
          <w:rFonts w:hint="eastAsia" w:ascii="仿宋" w:hAnsi="仿宋" w:eastAsia="仿宋" w:cs="仿宋"/>
          <w:b w:val="0"/>
          <w:bCs/>
          <w:color w:val="auto"/>
          <w:sz w:val="24"/>
          <w:szCs w:val="24"/>
          <w:lang w:val="en-US" w:eastAsia="zh-CN"/>
        </w:rPr>
        <w:t>北京市曙鹏</w:t>
      </w:r>
      <w:r>
        <w:rPr>
          <w:rFonts w:hint="eastAsia" w:ascii="仿宋" w:hAnsi="仿宋" w:eastAsia="仿宋" w:cs="仿宋"/>
          <w:b w:val="0"/>
          <w:bCs/>
          <w:color w:val="auto"/>
          <w:sz w:val="24"/>
          <w:szCs w:val="24"/>
        </w:rPr>
        <w:t>律师事务所</w:t>
      </w:r>
    </w:p>
    <w:p w14:paraId="6DF3D9D3">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统一社会信用代码：</w:t>
      </w:r>
      <w:r>
        <w:rPr>
          <w:rFonts w:hint="eastAsia" w:ascii="仿宋" w:hAnsi="仿宋" w:eastAsia="仿宋" w:cs="仿宋"/>
          <w:color w:val="auto"/>
          <w:sz w:val="24"/>
          <w:szCs w:val="24"/>
        </w:rPr>
        <w:t>311100005514149202</w:t>
      </w:r>
    </w:p>
    <w:p w14:paraId="3BFF4359">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本合同各方经平等自愿协商，根据《中华人民共和国民法典》及相关法规，就乙方为甲方提供委托代理服务事宜，签订本合同以共同遵守。</w:t>
      </w:r>
    </w:p>
    <w:p w14:paraId="1E750BC7">
      <w:pPr>
        <w:pStyle w:val="4"/>
        <w:keepNext w:val="0"/>
        <w:pageBreakBefore w:val="0"/>
        <w:widowControl/>
        <w:numPr>
          <w:ilvl w:val="0"/>
          <w:numId w:val="1"/>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委托事项</w:t>
      </w:r>
    </w:p>
    <w:p w14:paraId="17E034CC">
      <w:pPr>
        <w:pStyle w:val="6"/>
        <w:keepNext w:val="0"/>
        <w:pageBreakBefore w:val="0"/>
        <w:widowControl/>
        <w:numPr>
          <w:ilvl w:val="1"/>
          <w:numId w:val="1"/>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甲方委托乙方代理下列案件：</w:t>
      </w:r>
    </w:p>
    <w:p w14:paraId="5490702E">
      <w:pPr>
        <w:keepNext w:val="0"/>
        <w:keepLines w:val="0"/>
        <w:widowControl/>
        <w:suppressLineNumbers w:val="0"/>
        <w:jc w:val="left"/>
        <w:rPr>
          <w:rFonts w:hint="eastAsia" w:ascii="仿宋" w:hAnsi="仿宋" w:eastAsia="仿宋" w:cs="仿宋"/>
          <w:color w:val="auto"/>
          <w:sz w:val="24"/>
          <w:szCs w:val="24"/>
        </w:rPr>
      </w:pPr>
      <w:r>
        <w:rPr>
          <w:rFonts w:hint="eastAsia" w:ascii="仿宋" w:hAnsi="仿宋" w:eastAsia="仿宋" w:cs="仿宋"/>
          <w:color w:val="auto"/>
          <w:sz w:val="24"/>
          <w:szCs w:val="24"/>
        </w:rPr>
        <w:t>案件当事人：甲方、</w:t>
      </w:r>
      <w:r>
        <w:rPr>
          <w:rFonts w:hint="eastAsia" w:ascii="仿宋" w:hAnsi="仿宋" w:eastAsia="仿宋" w:cs="仿宋"/>
          <w:color w:val="auto"/>
          <w:kern w:val="0"/>
          <w:sz w:val="24"/>
          <w:szCs w:val="24"/>
          <w:lang w:val="en-US" w:eastAsia="zh-CN" w:bidi="ar"/>
        </w:rPr>
        <w:t>王书坡</w:t>
      </w:r>
    </w:p>
    <w:p w14:paraId="75D7F982">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案由：</w:t>
      </w:r>
      <w:r>
        <w:rPr>
          <w:rFonts w:hint="eastAsia" w:ascii="仿宋" w:hAnsi="仿宋" w:eastAsia="仿宋" w:cs="仿宋"/>
          <w:color w:val="auto"/>
          <w:sz w:val="24"/>
          <w:szCs w:val="24"/>
          <w:lang w:val="en-US" w:eastAsia="zh-CN"/>
        </w:rPr>
        <w:t>合伙</w:t>
      </w:r>
      <w:r>
        <w:rPr>
          <w:rFonts w:hint="eastAsia" w:ascii="仿宋" w:hAnsi="仿宋" w:eastAsia="仿宋" w:cs="仿宋"/>
          <w:color w:val="auto"/>
          <w:sz w:val="24"/>
          <w:szCs w:val="24"/>
          <w:u w:val="none"/>
          <w:lang w:val="en-US" w:eastAsia="zh-CN"/>
        </w:rPr>
        <w:t>合同纠纷</w:t>
      </w:r>
    </w:p>
    <w:p w14:paraId="1327BF88">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代理阶段：</w:t>
      </w:r>
      <w:r>
        <w:rPr>
          <w:rFonts w:hint="eastAsia" w:ascii="仿宋" w:hAnsi="仿宋" w:eastAsia="仿宋" w:cs="仿宋"/>
          <w:color w:val="auto"/>
          <w:sz w:val="24"/>
          <w:szCs w:val="24"/>
          <w:u w:val="none"/>
        </w:rPr>
        <w:t>一审</w:t>
      </w:r>
      <w:r>
        <w:rPr>
          <w:rFonts w:hint="eastAsia" w:ascii="仿宋" w:hAnsi="仿宋" w:eastAsia="仿宋" w:cs="仿宋"/>
          <w:color w:val="auto"/>
          <w:sz w:val="24"/>
          <w:szCs w:val="24"/>
          <w:u w:val="none"/>
          <w:lang w:eastAsia="zh-CN"/>
        </w:rPr>
        <w:t>；</w:t>
      </w:r>
      <w:r>
        <w:rPr>
          <w:rFonts w:hint="eastAsia" w:ascii="仿宋" w:hAnsi="仿宋" w:eastAsia="仿宋" w:cs="仿宋"/>
          <w:color w:val="auto"/>
          <w:sz w:val="24"/>
          <w:szCs w:val="24"/>
          <w:u w:val="none"/>
        </w:rPr>
        <w:t>二审</w:t>
      </w:r>
      <w:r>
        <w:rPr>
          <w:rFonts w:hint="eastAsia" w:ascii="仿宋" w:hAnsi="仿宋" w:eastAsia="仿宋" w:cs="仿宋"/>
          <w:color w:val="auto"/>
          <w:sz w:val="24"/>
          <w:szCs w:val="24"/>
          <w:u w:val="none"/>
          <w:lang w:eastAsia="zh-CN"/>
        </w:rPr>
        <w:t>。</w:t>
      </w:r>
    </w:p>
    <w:p w14:paraId="29FBE91B">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以下称“案件”。</w:t>
      </w:r>
    </w:p>
    <w:p w14:paraId="11748F3D">
      <w:pPr>
        <w:pStyle w:val="4"/>
        <w:keepNext w:val="0"/>
        <w:pageBreakBefore w:val="0"/>
        <w:widowControl/>
        <w:numPr>
          <w:ilvl w:val="0"/>
          <w:numId w:val="2"/>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 xml:space="preserve"> </w:t>
      </w:r>
      <w:r>
        <w:rPr>
          <w:rFonts w:hint="eastAsia" w:ascii="仿宋" w:hAnsi="仿宋" w:eastAsia="仿宋" w:cs="仿宋"/>
          <w:color w:val="auto"/>
          <w:sz w:val="24"/>
          <w:szCs w:val="24"/>
        </w:rPr>
        <w:t>代理范围</w:t>
      </w:r>
    </w:p>
    <w:p w14:paraId="0F164A89">
      <w:pPr>
        <w:pStyle w:val="6"/>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 xml:space="preserve">2.1  </w:t>
      </w:r>
      <w:r>
        <w:rPr>
          <w:rFonts w:hint="eastAsia" w:ascii="仿宋" w:hAnsi="仿宋" w:eastAsia="仿宋" w:cs="仿宋"/>
          <w:color w:val="auto"/>
          <w:sz w:val="24"/>
          <w:szCs w:val="24"/>
        </w:rPr>
        <w:t>根据双方的约定，乙方的代理范围及代理权限为：</w:t>
      </w:r>
    </w:p>
    <w:p w14:paraId="335459EB">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代理甲方参与</w:t>
      </w:r>
      <w:r>
        <w:rPr>
          <w:rFonts w:hint="eastAsia" w:ascii="仿宋" w:hAnsi="仿宋" w:eastAsia="仿宋" w:cs="仿宋"/>
          <w:color w:val="auto"/>
          <w:sz w:val="24"/>
          <w:szCs w:val="24"/>
          <w:lang w:val="en-US" w:eastAsia="zh-CN"/>
        </w:rPr>
        <w:t>案件</w:t>
      </w:r>
      <w:r>
        <w:rPr>
          <w:rFonts w:hint="eastAsia" w:ascii="仿宋" w:hAnsi="仿宋" w:eastAsia="仿宋" w:cs="仿宋"/>
          <w:color w:val="auto"/>
          <w:sz w:val="24"/>
          <w:szCs w:val="24"/>
        </w:rPr>
        <w:t>工作，包括</w:t>
      </w:r>
      <w:r>
        <w:rPr>
          <w:rFonts w:hint="eastAsia" w:ascii="仿宋" w:hAnsi="仿宋" w:eastAsia="仿宋" w:cs="仿宋"/>
          <w:color w:val="auto"/>
          <w:sz w:val="24"/>
          <w:szCs w:val="24"/>
          <w:lang w:val="en-US" w:eastAsia="zh-CN"/>
        </w:rPr>
        <w:t>提出管辖异议、证据准备</w:t>
      </w:r>
      <w:r>
        <w:rPr>
          <w:rFonts w:hint="eastAsia" w:ascii="仿宋" w:hAnsi="仿宋" w:eastAsia="仿宋" w:cs="仿宋"/>
          <w:color w:val="auto"/>
          <w:sz w:val="24"/>
          <w:szCs w:val="24"/>
        </w:rPr>
        <w:t>、</w:t>
      </w:r>
      <w:r>
        <w:rPr>
          <w:rFonts w:hint="eastAsia" w:ascii="仿宋" w:hAnsi="仿宋" w:eastAsia="仿宋" w:cs="仿宋"/>
          <w:color w:val="auto"/>
          <w:sz w:val="24"/>
          <w:szCs w:val="24"/>
          <w:lang w:val="en-US" w:eastAsia="zh-CN"/>
        </w:rPr>
        <w:t>参加庭审及委托授权事项。</w:t>
      </w:r>
    </w:p>
    <w:p w14:paraId="45F44C17">
      <w:pPr>
        <w:pStyle w:val="6"/>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 xml:space="preserve">2.2  </w:t>
      </w:r>
      <w:r>
        <w:rPr>
          <w:rFonts w:hint="eastAsia" w:ascii="仿宋" w:hAnsi="仿宋" w:eastAsia="仿宋" w:cs="仿宋"/>
          <w:color w:val="auto"/>
          <w:sz w:val="24"/>
          <w:szCs w:val="24"/>
        </w:rPr>
        <w:t>乙方接受甲方的委托，指派</w:t>
      </w:r>
      <w:r>
        <w:rPr>
          <w:rFonts w:hint="eastAsia" w:ascii="仿宋" w:hAnsi="仿宋" w:eastAsia="仿宋" w:cs="仿宋"/>
          <w:color w:val="auto"/>
          <w:sz w:val="24"/>
          <w:szCs w:val="24"/>
          <w:lang w:val="en-US" w:eastAsia="zh-CN"/>
        </w:rPr>
        <w:t>律师戴勇、律师冉佳霖</w:t>
      </w:r>
      <w:r>
        <w:rPr>
          <w:rFonts w:hint="eastAsia" w:ascii="仿宋" w:hAnsi="仿宋" w:eastAsia="仿宋" w:cs="仿宋"/>
          <w:color w:val="auto"/>
          <w:sz w:val="24"/>
          <w:szCs w:val="24"/>
        </w:rPr>
        <w:t>为案件代理人。</w:t>
      </w:r>
    </w:p>
    <w:p w14:paraId="3D858CC9">
      <w:pPr>
        <w:pStyle w:val="6"/>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460" w:lineRule="exact"/>
        <w:ind w:left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 xml:space="preserve">2.3  </w:t>
      </w:r>
      <w:r>
        <w:rPr>
          <w:rFonts w:hint="eastAsia" w:ascii="仿宋" w:hAnsi="仿宋" w:eastAsia="仿宋" w:cs="仿宋"/>
          <w:color w:val="auto"/>
          <w:sz w:val="24"/>
          <w:szCs w:val="24"/>
        </w:rPr>
        <w:t>如上述律师有其它事项不能出庭，则乙方与甲方协商指派其它律师出庭处理。</w:t>
      </w:r>
    </w:p>
    <w:p w14:paraId="07D04FCA">
      <w:pPr>
        <w:pStyle w:val="6"/>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460" w:lineRule="exact"/>
        <w:ind w:left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 xml:space="preserve">2.4  </w:t>
      </w:r>
      <w:r>
        <w:rPr>
          <w:rFonts w:hint="eastAsia" w:ascii="仿宋" w:hAnsi="仿宋" w:eastAsia="仿宋" w:cs="仿宋"/>
          <w:color w:val="auto"/>
          <w:sz w:val="24"/>
          <w:szCs w:val="24"/>
        </w:rPr>
        <w:t>就案件的辅助事宜，乙方律师有权指派其他人员协助办理。</w:t>
      </w:r>
    </w:p>
    <w:p w14:paraId="17DBE1C7">
      <w:pPr>
        <w:pStyle w:val="4"/>
        <w:keepNext w:val="0"/>
        <w:pageBreakBefore w:val="0"/>
        <w:widowControl/>
        <w:numPr>
          <w:ilvl w:val="0"/>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服务费用</w:t>
      </w:r>
    </w:p>
    <w:p w14:paraId="78BBB102">
      <w:pPr>
        <w:pStyle w:val="6"/>
        <w:keepNext w:val="0"/>
        <w:pageBreakBefore w:val="0"/>
        <w:widowControl/>
        <w:numPr>
          <w:ilvl w:val="1"/>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经协商双方同意，律师服务费用按“</w:t>
      </w:r>
      <w:r>
        <w:rPr>
          <w:rFonts w:hint="eastAsia" w:ascii="仿宋" w:hAnsi="仿宋" w:eastAsia="仿宋" w:cs="仿宋"/>
          <w:color w:val="auto"/>
          <w:sz w:val="24"/>
          <w:szCs w:val="24"/>
          <w:lang w:val="en-US" w:eastAsia="zh-CN"/>
        </w:rPr>
        <w:t>协商一致，一次性支付</w:t>
      </w:r>
      <w:r>
        <w:rPr>
          <w:rFonts w:hint="eastAsia" w:ascii="仿宋" w:hAnsi="仿宋" w:eastAsia="仿宋" w:cs="仿宋"/>
          <w:color w:val="auto"/>
          <w:sz w:val="24"/>
          <w:szCs w:val="24"/>
        </w:rPr>
        <w:t>”的方式。具体如下：</w:t>
      </w:r>
    </w:p>
    <w:p w14:paraId="7FDFDD1C">
      <w:pPr>
        <w:pStyle w:val="6"/>
        <w:keepNext w:val="0"/>
        <w:pageBreakBefore w:val="0"/>
        <w:widowControl/>
        <w:numPr>
          <w:ilvl w:val="2"/>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律师服务费：</w:t>
      </w:r>
      <w:r>
        <w:rPr>
          <w:rFonts w:hint="eastAsia" w:ascii="仿宋" w:hAnsi="仿宋" w:eastAsia="仿宋" w:cs="仿宋"/>
          <w:color w:val="auto"/>
          <w:sz w:val="24"/>
          <w:szCs w:val="24"/>
          <w:u w:val="single"/>
        </w:rPr>
        <w:t>人民币（大写）</w:t>
      </w:r>
      <w:r>
        <w:rPr>
          <w:rFonts w:hint="eastAsia" w:ascii="仿宋" w:hAnsi="仿宋" w:eastAsia="仿宋" w:cs="仿宋"/>
          <w:color w:val="auto"/>
          <w:sz w:val="24"/>
          <w:szCs w:val="24"/>
          <w:u w:val="single"/>
          <w:lang w:val="en-US" w:eastAsia="zh-CN"/>
        </w:rPr>
        <w:t>壹万</w:t>
      </w:r>
      <w:r>
        <w:rPr>
          <w:rFonts w:hint="eastAsia" w:ascii="仿宋" w:hAnsi="仿宋" w:eastAsia="仿宋" w:cs="仿宋"/>
          <w:color w:val="auto"/>
          <w:sz w:val="24"/>
          <w:szCs w:val="24"/>
          <w:u w:val="single"/>
        </w:rPr>
        <w:t>元（￥</w:t>
      </w:r>
      <w:r>
        <w:rPr>
          <w:rFonts w:hint="eastAsia" w:ascii="仿宋" w:hAnsi="仿宋" w:eastAsia="仿宋" w:cs="仿宋"/>
          <w:color w:val="auto"/>
          <w:sz w:val="24"/>
          <w:szCs w:val="24"/>
          <w:u w:val="single"/>
          <w:lang w:val="en-US" w:eastAsia="zh-CN"/>
        </w:rPr>
        <w:t>10,000</w:t>
      </w:r>
      <w:r>
        <w:rPr>
          <w:rFonts w:hint="eastAsia" w:ascii="仿宋" w:hAnsi="仿宋" w:eastAsia="仿宋" w:cs="仿宋"/>
          <w:color w:val="auto"/>
          <w:sz w:val="24"/>
          <w:szCs w:val="24"/>
          <w:u w:val="single"/>
        </w:rPr>
        <w:t>元）</w:t>
      </w:r>
      <w:r>
        <w:rPr>
          <w:rFonts w:hint="eastAsia" w:ascii="仿宋" w:hAnsi="仿宋" w:eastAsia="仿宋" w:cs="仿宋"/>
          <w:color w:val="auto"/>
          <w:sz w:val="24"/>
          <w:szCs w:val="24"/>
        </w:rPr>
        <w:t>；于</w:t>
      </w:r>
      <w:r>
        <w:rPr>
          <w:rFonts w:hint="eastAsia" w:ascii="仿宋" w:hAnsi="仿宋" w:eastAsia="仿宋" w:cs="仿宋"/>
          <w:color w:val="auto"/>
          <w:sz w:val="24"/>
          <w:szCs w:val="24"/>
          <w:lang w:val="en-US" w:eastAsia="zh-CN"/>
        </w:rPr>
        <w:t>本合同签订</w:t>
      </w:r>
      <w:r>
        <w:rPr>
          <w:rFonts w:hint="eastAsia" w:ascii="仿宋" w:hAnsi="仿宋" w:eastAsia="仿宋" w:cs="仿宋"/>
          <w:color w:val="auto"/>
          <w:sz w:val="24"/>
          <w:szCs w:val="24"/>
        </w:rPr>
        <w:t>日起</w:t>
      </w:r>
      <w:r>
        <w:rPr>
          <w:rFonts w:hint="eastAsia" w:ascii="仿宋" w:hAnsi="仿宋" w:eastAsia="仿宋" w:cs="仿宋"/>
          <w:color w:val="auto"/>
          <w:sz w:val="24"/>
          <w:szCs w:val="24"/>
          <w:lang w:val="en-US" w:eastAsia="zh-CN"/>
        </w:rPr>
        <w:t>3</w:t>
      </w:r>
      <w:r>
        <w:rPr>
          <w:rFonts w:hint="eastAsia" w:ascii="仿宋" w:hAnsi="仿宋" w:eastAsia="仿宋" w:cs="仿宋"/>
          <w:color w:val="auto"/>
          <w:sz w:val="24"/>
          <w:szCs w:val="24"/>
        </w:rPr>
        <w:t>日内支付。</w:t>
      </w:r>
    </w:p>
    <w:p w14:paraId="503C96C6">
      <w:pPr>
        <w:pStyle w:val="6"/>
        <w:keepNext w:val="0"/>
        <w:pageBreakBefore w:val="0"/>
        <w:widowControl/>
        <w:numPr>
          <w:ilvl w:val="1"/>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第三方费用</w:t>
      </w:r>
    </w:p>
    <w:p w14:paraId="50092C51">
      <w:pPr>
        <w:pStyle w:val="6"/>
        <w:keepNext w:val="0"/>
        <w:pageBreakBefore w:val="0"/>
        <w:widowControl/>
        <w:numPr>
          <w:ilvl w:val="2"/>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乙方为甲方提供法律服务的过程中所发生的诉讼费、鉴定费、检验费、评估费、公证费、查档费、翻译费等由甲方</w:t>
      </w:r>
      <w:r>
        <w:rPr>
          <w:rFonts w:hint="eastAsia" w:ascii="仿宋" w:hAnsi="仿宋" w:eastAsia="仿宋" w:cs="仿宋"/>
          <w:color w:val="auto"/>
          <w:sz w:val="24"/>
          <w:szCs w:val="24"/>
          <w:lang w:val="en-US" w:eastAsia="zh-CN"/>
        </w:rPr>
        <w:t>承担并支付</w:t>
      </w:r>
      <w:r>
        <w:rPr>
          <w:rFonts w:hint="eastAsia" w:ascii="仿宋" w:hAnsi="仿宋" w:eastAsia="仿宋" w:cs="仿宋"/>
          <w:color w:val="auto"/>
          <w:sz w:val="24"/>
          <w:szCs w:val="24"/>
        </w:rPr>
        <w:t>。</w:t>
      </w:r>
    </w:p>
    <w:p w14:paraId="567B35ED">
      <w:pPr>
        <w:pStyle w:val="6"/>
        <w:keepNext w:val="0"/>
        <w:pageBreakBefore w:val="0"/>
        <w:widowControl/>
        <w:numPr>
          <w:ilvl w:val="2"/>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乙方代甲方支付上述费用的，应当凭有效票证与甲方结算；乙方先行代收费用的，事后也应依据有效票据及时与甲方结算。</w:t>
      </w:r>
    </w:p>
    <w:p w14:paraId="677EC0C7">
      <w:pPr>
        <w:pStyle w:val="6"/>
        <w:keepNext w:val="0"/>
        <w:pageBreakBefore w:val="0"/>
        <w:widowControl/>
        <w:numPr>
          <w:ilvl w:val="1"/>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差旅费用</w:t>
      </w:r>
    </w:p>
    <w:p w14:paraId="1C594A42">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在办理委托事项过程中的其他所需办案费用（包括资料、交通、通讯、文印、差旅、食宿等费用）由乙方自行承担。但因办案所需，需要到</w:t>
      </w:r>
      <w:r>
        <w:rPr>
          <w:rFonts w:hint="eastAsia" w:ascii="仿宋" w:hAnsi="仿宋" w:eastAsia="仿宋" w:cs="仿宋"/>
          <w:color w:val="auto"/>
          <w:sz w:val="24"/>
          <w:szCs w:val="24"/>
          <w:u w:val="none"/>
          <w:lang w:val="en-US" w:eastAsia="zh-CN"/>
        </w:rPr>
        <w:t>北京市以外</w:t>
      </w:r>
      <w:r>
        <w:rPr>
          <w:rFonts w:hint="eastAsia" w:ascii="仿宋" w:hAnsi="仿宋" w:eastAsia="仿宋" w:cs="仿宋"/>
          <w:color w:val="auto"/>
          <w:sz w:val="24"/>
          <w:szCs w:val="24"/>
        </w:rPr>
        <w:t>出差所发生的差旅费用由甲方据实报销。</w:t>
      </w:r>
    </w:p>
    <w:p w14:paraId="3609A2F0">
      <w:pPr>
        <w:pStyle w:val="6"/>
        <w:keepNext w:val="0"/>
        <w:pageBreakBefore w:val="0"/>
        <w:widowControl/>
        <w:numPr>
          <w:ilvl w:val="1"/>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乙方指定收款账号：</w:t>
      </w:r>
    </w:p>
    <w:p w14:paraId="4AD58F95">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户名：</w:t>
      </w:r>
      <w:r>
        <w:rPr>
          <w:rFonts w:hint="eastAsia" w:ascii="仿宋" w:hAnsi="仿宋" w:eastAsia="仿宋" w:cs="仿宋"/>
          <w:color w:val="auto"/>
          <w:sz w:val="24"/>
          <w:szCs w:val="24"/>
        </w:rPr>
        <w:t>北京市曙鹏律师事务所</w:t>
      </w:r>
    </w:p>
    <w:p w14:paraId="27EA3264">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账号：</w:t>
      </w:r>
      <w:r>
        <w:rPr>
          <w:rFonts w:hint="eastAsia" w:ascii="仿宋" w:hAnsi="仿宋" w:eastAsia="仿宋" w:cs="仿宋"/>
          <w:color w:val="auto"/>
          <w:sz w:val="24"/>
          <w:szCs w:val="24"/>
        </w:rPr>
        <w:t>0200053809200143341</w:t>
      </w:r>
    </w:p>
    <w:p w14:paraId="0FC1FF27">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开户行：</w:t>
      </w:r>
      <w:r>
        <w:rPr>
          <w:rFonts w:hint="eastAsia" w:ascii="仿宋" w:hAnsi="仿宋" w:eastAsia="仿宋" w:cs="仿宋"/>
          <w:color w:val="auto"/>
          <w:sz w:val="24"/>
          <w:szCs w:val="24"/>
        </w:rPr>
        <w:t>工商银行北京分行方庄支行</w:t>
      </w:r>
    </w:p>
    <w:p w14:paraId="31A2D514">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乙方未授权任何员工、第三方收款；付款方未向指定账号付款导致损失的，乙方不承担任何责任。</w:t>
      </w:r>
    </w:p>
    <w:p w14:paraId="4A8039D8">
      <w:pPr>
        <w:pStyle w:val="6"/>
        <w:keepNext w:val="0"/>
        <w:pageBreakBefore w:val="0"/>
        <w:widowControl/>
        <w:numPr>
          <w:ilvl w:val="1"/>
          <w:numId w:val="3"/>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发票</w:t>
      </w:r>
    </w:p>
    <w:p w14:paraId="6F3BD0D0">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本合同中约定的价款或交易金额为含税金额，乙方应向甲方提供正规足额增值税发票。</w:t>
      </w:r>
    </w:p>
    <w:p w14:paraId="73363116">
      <w:pPr>
        <w:pStyle w:val="4"/>
        <w:keepNext w:val="0"/>
        <w:pageBreakBefore w:val="0"/>
        <w:widowControl/>
        <w:numPr>
          <w:ilvl w:val="0"/>
          <w:numId w:val="4"/>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乙方义务</w:t>
      </w:r>
    </w:p>
    <w:p w14:paraId="4890AC94">
      <w:pPr>
        <w:pStyle w:val="6"/>
        <w:keepNext w:val="0"/>
        <w:pageBreakBefore w:val="0"/>
        <w:widowControl/>
        <w:numPr>
          <w:ilvl w:val="1"/>
          <w:numId w:val="4"/>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乙方应运用自己的法律知识、专业知识、社会经验和技能，最大限度地维护甲方合法权益。但乙方不对案件结果进行任何承诺。</w:t>
      </w:r>
    </w:p>
    <w:p w14:paraId="4D362877">
      <w:pPr>
        <w:pStyle w:val="6"/>
        <w:keepNext w:val="0"/>
        <w:pageBreakBefore w:val="0"/>
        <w:widowControl/>
        <w:numPr>
          <w:ilvl w:val="1"/>
          <w:numId w:val="4"/>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乙方应当及时告知甲方有关代理工作的情况，及时答复甲方询问。</w:t>
      </w:r>
    </w:p>
    <w:p w14:paraId="4032441F">
      <w:pPr>
        <w:pStyle w:val="6"/>
        <w:keepNext w:val="0"/>
        <w:pageBreakBefore w:val="0"/>
        <w:widowControl/>
        <w:numPr>
          <w:ilvl w:val="1"/>
          <w:numId w:val="4"/>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乙方在代理甲方案件期间，未经甲方事先书面同意，不得担任与甲方具有利益冲突的另一方的委托代理人。</w:t>
      </w:r>
    </w:p>
    <w:p w14:paraId="363BD0F4">
      <w:pPr>
        <w:pStyle w:val="6"/>
        <w:keepNext w:val="0"/>
        <w:pageBreakBefore w:val="0"/>
        <w:widowControl/>
        <w:numPr>
          <w:ilvl w:val="1"/>
          <w:numId w:val="4"/>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乙方对其获知的甲方商业秘密、个人隐私负有保密义务。</w:t>
      </w:r>
    </w:p>
    <w:p w14:paraId="05676DEE">
      <w:pPr>
        <w:pStyle w:val="4"/>
        <w:keepNext w:val="0"/>
        <w:pageBreakBefore w:val="0"/>
        <w:widowControl/>
        <w:numPr>
          <w:ilvl w:val="0"/>
          <w:numId w:val="5"/>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甲方义务</w:t>
      </w:r>
    </w:p>
    <w:p w14:paraId="460268C3">
      <w:pPr>
        <w:pStyle w:val="6"/>
        <w:keepNext w:val="0"/>
        <w:pageBreakBefore w:val="0"/>
        <w:widowControl/>
        <w:numPr>
          <w:ilvl w:val="1"/>
          <w:numId w:val="5"/>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甲方应当真实、详尽、及时地向乙方律师叙述案情，提供与委托代理事务有关的全部证据材料、文件及其它事实情节。</w:t>
      </w:r>
    </w:p>
    <w:p w14:paraId="6D4C57BC">
      <w:pPr>
        <w:pStyle w:val="6"/>
        <w:keepNext w:val="0"/>
        <w:pageBreakBefore w:val="0"/>
        <w:widowControl/>
        <w:numPr>
          <w:ilvl w:val="1"/>
          <w:numId w:val="5"/>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甲方应按本合同规定的时间和金额向乙方支付律师服务费用；因不可归责于乙方的事由，委托合同解除或者委托事务不能完成的，乙方收取的律师服务费用不予退还。</w:t>
      </w:r>
    </w:p>
    <w:p w14:paraId="58FB7E07">
      <w:pPr>
        <w:pStyle w:val="6"/>
        <w:keepNext w:val="0"/>
        <w:pageBreakBefore w:val="0"/>
        <w:widowControl/>
        <w:numPr>
          <w:ilvl w:val="1"/>
          <w:numId w:val="5"/>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甲方有责任对委托代理事务做出独立地判断和决策。甲方非根据乙方律师提供的法律意见、建议或方案所做出的决定而造成的损失，由甲方承担。</w:t>
      </w:r>
    </w:p>
    <w:p w14:paraId="7AD30B71">
      <w:pPr>
        <w:pStyle w:val="6"/>
        <w:keepNext w:val="0"/>
        <w:pageBreakBefore w:val="0"/>
        <w:widowControl/>
        <w:numPr>
          <w:ilvl w:val="1"/>
          <w:numId w:val="5"/>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除非另有书面明确约定，乙方及乙方律师不对案件结果作任何承诺或保证。乙方律师对案件的分析意见不作为承诺或保证。</w:t>
      </w:r>
    </w:p>
    <w:p w14:paraId="57E2C168">
      <w:pPr>
        <w:pStyle w:val="4"/>
        <w:keepNext w:val="0"/>
        <w:pageBreakBefore w:val="0"/>
        <w:widowControl/>
        <w:numPr>
          <w:ilvl w:val="0"/>
          <w:numId w:val="6"/>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合同的变更和解除</w:t>
      </w:r>
    </w:p>
    <w:p w14:paraId="0CA1B56D">
      <w:pPr>
        <w:pStyle w:val="6"/>
        <w:keepNext w:val="0"/>
        <w:pageBreakBefore w:val="0"/>
        <w:widowControl/>
        <w:numPr>
          <w:ilvl w:val="1"/>
          <w:numId w:val="6"/>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甲、乙双方经协商一致的，可以变更或者解除本合同。</w:t>
      </w:r>
    </w:p>
    <w:p w14:paraId="410545E2">
      <w:pPr>
        <w:pStyle w:val="6"/>
        <w:keepNext w:val="0"/>
        <w:pageBreakBefore w:val="0"/>
        <w:widowControl/>
        <w:numPr>
          <w:ilvl w:val="1"/>
          <w:numId w:val="6"/>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甲方明确放弃委托事务的，可以要求变更合同；变更合同后的律师服务费用，由甲、乙双方协商确定。</w:t>
      </w:r>
    </w:p>
    <w:p w14:paraId="6F477F78">
      <w:pPr>
        <w:pStyle w:val="6"/>
        <w:keepNext w:val="0"/>
        <w:pageBreakBefore w:val="0"/>
        <w:widowControl/>
        <w:numPr>
          <w:ilvl w:val="1"/>
          <w:numId w:val="6"/>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乙方有下列情形之一的，甲方有权解除本合同：</w:t>
      </w:r>
    </w:p>
    <w:p w14:paraId="3A5ACCE8">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（1）未经甲方同意，擅自更换代理律师的；</w:t>
      </w:r>
    </w:p>
    <w:p w14:paraId="3A3EE63B">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（2）乙方律师工作延误、重大失职导致甲方蒙受重大损失的。</w:t>
      </w:r>
    </w:p>
    <w:p w14:paraId="317A1907">
      <w:pPr>
        <w:pStyle w:val="6"/>
        <w:keepNext w:val="0"/>
        <w:pageBreakBefore w:val="0"/>
        <w:widowControl/>
        <w:numPr>
          <w:ilvl w:val="1"/>
          <w:numId w:val="6"/>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甲方不得以如下理由要求乙方退费：</w:t>
      </w:r>
    </w:p>
    <w:p w14:paraId="0B044B09">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（1）甲方单方面又委托其他律师事务所的律师代理的；</w:t>
      </w:r>
    </w:p>
    <w:p w14:paraId="3DDBEF84">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（2）乙方接受委托后，甲方以乙方收费过高为由要求退费的；</w:t>
      </w:r>
    </w:p>
    <w:p w14:paraId="5DFC2D4A">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（3）甲方作为被告时，乙方律师已经为出庭作了准备，原告撤诉的；</w:t>
      </w:r>
    </w:p>
    <w:p w14:paraId="3CD512BB">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（4）其他非因乙方或者乙方律师的原因，甲方单方解除合同的。</w:t>
      </w:r>
    </w:p>
    <w:p w14:paraId="3F86FE39">
      <w:pPr>
        <w:pStyle w:val="4"/>
        <w:keepNext w:val="0"/>
        <w:pageBreakBefore w:val="0"/>
        <w:widowControl/>
        <w:numPr>
          <w:ilvl w:val="0"/>
          <w:numId w:val="7"/>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违约责任</w:t>
      </w:r>
    </w:p>
    <w:p w14:paraId="21F16E13">
      <w:pPr>
        <w:pStyle w:val="6"/>
        <w:keepNext w:val="0"/>
        <w:pageBreakBefore w:val="0"/>
        <w:widowControl/>
        <w:numPr>
          <w:ilvl w:val="1"/>
          <w:numId w:val="7"/>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乙方无正当理由不提供本合同约定的法律服务工作或者违反己方合同义务的，甲方有权要求乙方退还部分或者全部已付的律师服务费用。</w:t>
      </w:r>
    </w:p>
    <w:p w14:paraId="5E0499A3">
      <w:pPr>
        <w:pStyle w:val="6"/>
        <w:keepNext w:val="0"/>
        <w:pageBreakBefore w:val="0"/>
        <w:widowControl/>
        <w:numPr>
          <w:ilvl w:val="1"/>
          <w:numId w:val="7"/>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甲方逾期付款的，每逾期一天，应按逾期金额的</w:t>
      </w:r>
      <w:r>
        <w:rPr>
          <w:rFonts w:hint="eastAsia" w:ascii="仿宋" w:hAnsi="仿宋" w:eastAsia="仿宋" w:cs="仿宋"/>
          <w:color w:val="auto"/>
          <w:sz w:val="24"/>
          <w:szCs w:val="24"/>
          <w:u w:val="single"/>
        </w:rPr>
        <w:t>5‱（万分之五）</w:t>
      </w:r>
      <w:r>
        <w:rPr>
          <w:rFonts w:hint="eastAsia" w:ascii="仿宋" w:hAnsi="仿宋" w:eastAsia="仿宋" w:cs="仿宋"/>
          <w:color w:val="auto"/>
          <w:sz w:val="24"/>
          <w:szCs w:val="24"/>
        </w:rPr>
        <w:t>向乙方支付违约金，同时仍应履行付款义务。</w:t>
      </w:r>
    </w:p>
    <w:p w14:paraId="1821EBC0">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逾期超过15日的，乙方有权解除本合同。</w:t>
      </w:r>
    </w:p>
    <w:p w14:paraId="2A29D306">
      <w:pPr>
        <w:pStyle w:val="6"/>
        <w:keepNext w:val="0"/>
        <w:pageBreakBefore w:val="0"/>
        <w:widowControl/>
        <w:numPr>
          <w:ilvl w:val="1"/>
          <w:numId w:val="7"/>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val="0"/>
          <w:bCs/>
          <w:color w:val="auto"/>
          <w:sz w:val="24"/>
          <w:szCs w:val="24"/>
        </w:rPr>
        <w:t>在乙方已经提供服务的情况下，甲方不得主张任意解除权或以其他理由要求解除本合同；否则在本合同约定的条件成就的情况下，仍应按本合同约定的全部律师服务费标准（包括后期律师服务费标准）向乙方赔偿全部损失。</w:t>
      </w:r>
    </w:p>
    <w:p w14:paraId="4A6C0820">
      <w:pPr>
        <w:pStyle w:val="4"/>
        <w:keepNext w:val="0"/>
        <w:pageBreakBefore w:val="0"/>
        <w:widowControl/>
        <w:numPr>
          <w:ilvl w:val="0"/>
          <w:numId w:val="8"/>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其他约定</w:t>
      </w:r>
    </w:p>
    <w:p w14:paraId="61BF558C">
      <w:pPr>
        <w:pStyle w:val="6"/>
        <w:keepNext w:val="0"/>
        <w:pageBreakBefore w:val="0"/>
        <w:widowControl/>
        <w:numPr>
          <w:ilvl w:val="1"/>
          <w:numId w:val="8"/>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部分无效处理</w:t>
      </w:r>
    </w:p>
    <w:p w14:paraId="7CE2093B">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如任何法院或有权机关认为本合同的任何部分无效、不合法或不可执行，则该部分不应被认为构成本合同的一部分，但不应影响本合同其余部分的合法有效性及可执行性。</w:t>
      </w:r>
    </w:p>
    <w:p w14:paraId="1F717038">
      <w:pPr>
        <w:pStyle w:val="6"/>
        <w:keepNext w:val="0"/>
        <w:pageBreakBefore w:val="0"/>
        <w:widowControl/>
        <w:numPr>
          <w:ilvl w:val="1"/>
          <w:numId w:val="8"/>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确认签约能力</w:t>
      </w:r>
    </w:p>
    <w:p w14:paraId="6408911F">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双方确认具备签订及履行本合同的能力与相应资质，并已经获得各自章程规定的授权及利害关系人的同意以签署本合同；在本合同上签字或盖章的各方代表已经获得相应的授权。</w:t>
      </w:r>
    </w:p>
    <w:p w14:paraId="169C07E8">
      <w:pPr>
        <w:pStyle w:val="4"/>
        <w:keepNext w:val="0"/>
        <w:pageBreakBefore w:val="0"/>
        <w:widowControl/>
        <w:numPr>
          <w:ilvl w:val="0"/>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合同联系方式</w:t>
      </w:r>
    </w:p>
    <w:p w14:paraId="10F6C021">
      <w:pPr>
        <w:pStyle w:val="6"/>
        <w:keepNext w:val="0"/>
        <w:pageBreakBefore w:val="0"/>
        <w:widowControl/>
        <w:numPr>
          <w:ilvl w:val="1"/>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甲方联系人</w:t>
      </w:r>
    </w:p>
    <w:p w14:paraId="24AC2ADD">
      <w:pPr>
        <w:pStyle w:val="6"/>
        <w:keepNext w:val="0"/>
        <w:pageBreakBefore w:val="0"/>
        <w:widowControl/>
        <w:numPr>
          <w:ilvl w:val="2"/>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甲方确认如下项目联系信息：</w:t>
      </w:r>
    </w:p>
    <w:p w14:paraId="3370ADA7">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联系人：</w:t>
      </w:r>
      <w:r>
        <w:rPr>
          <w:rFonts w:hint="eastAsia" w:ascii="仿宋" w:hAnsi="仿宋" w:eastAsia="仿宋" w:cs="仿宋"/>
          <w:color w:val="auto"/>
          <w:kern w:val="0"/>
          <w:sz w:val="24"/>
          <w:szCs w:val="24"/>
          <w:lang w:val="en-US" w:eastAsia="zh-CN" w:bidi="ar"/>
        </w:rPr>
        <w:t>张长松</w:t>
      </w:r>
    </w:p>
    <w:p w14:paraId="53C87269">
      <w:pPr>
        <w:keepNext w:val="0"/>
        <w:keepLines w:val="0"/>
        <w:widowControl/>
        <w:suppressLineNumbers w:val="0"/>
        <w:jc w:val="left"/>
        <w:rPr>
          <w:rFonts w:hint="eastAsia" w:ascii="仿宋" w:hAnsi="仿宋" w:eastAsia="仿宋" w:cs="仿宋"/>
          <w:color w:val="auto"/>
          <w:sz w:val="24"/>
          <w:szCs w:val="24"/>
        </w:rPr>
      </w:pPr>
      <w:r>
        <w:rPr>
          <w:rFonts w:hint="eastAsia" w:ascii="仿宋" w:hAnsi="仿宋" w:eastAsia="仿宋" w:cs="仿宋"/>
          <w:color w:val="auto"/>
          <w:sz w:val="24"/>
          <w:szCs w:val="24"/>
        </w:rPr>
        <w:t>地址：</w:t>
      </w:r>
      <w:r>
        <w:rPr>
          <w:rFonts w:hint="eastAsia" w:ascii="仿宋" w:hAnsi="仿宋" w:eastAsia="仿宋" w:cs="仿宋"/>
          <w:color w:val="auto"/>
          <w:kern w:val="0"/>
          <w:sz w:val="24"/>
          <w:szCs w:val="24"/>
          <w:lang w:val="en-US" w:eastAsia="zh-CN" w:bidi="ar"/>
        </w:rPr>
        <w:t>廊坊三河市燕郊星河皓月小区</w:t>
      </w:r>
      <w:r>
        <w:rPr>
          <w:rFonts w:hint="eastAsia" w:ascii="仿宋" w:hAnsi="仿宋" w:eastAsia="仿宋" w:cs="仿宋"/>
          <w:color w:val="auto"/>
          <w:kern w:val="0"/>
          <w:sz w:val="24"/>
          <w:szCs w:val="24"/>
          <w:lang w:val="en-US" w:eastAsia="zh-CN" w:bidi="ar"/>
        </w:rPr>
        <w:t>P4- 1-102室</w:t>
      </w:r>
    </w:p>
    <w:p w14:paraId="30B69CEF">
      <w:pPr>
        <w:keepNext w:val="0"/>
        <w:keepLines w:val="0"/>
        <w:widowControl/>
        <w:suppressLineNumbers w:val="0"/>
        <w:jc w:val="left"/>
        <w:rPr>
          <w:rFonts w:hint="eastAsia" w:ascii="仿宋" w:hAnsi="仿宋" w:eastAsia="仿宋" w:cs="仿宋"/>
          <w:color w:val="auto"/>
          <w:sz w:val="24"/>
          <w:szCs w:val="24"/>
        </w:rPr>
      </w:pPr>
      <w:r>
        <w:rPr>
          <w:rFonts w:hint="eastAsia" w:ascii="仿宋" w:hAnsi="仿宋" w:eastAsia="仿宋" w:cs="仿宋"/>
          <w:color w:val="auto"/>
          <w:sz w:val="24"/>
          <w:szCs w:val="24"/>
        </w:rPr>
        <w:t>手机：</w:t>
      </w:r>
      <w:r>
        <w:rPr>
          <w:rFonts w:hint="eastAsia" w:ascii="仿宋" w:hAnsi="仿宋" w:eastAsia="仿宋" w:cs="仿宋"/>
          <w:color w:val="auto"/>
          <w:kern w:val="0"/>
          <w:sz w:val="24"/>
          <w:szCs w:val="24"/>
          <w:lang w:val="en-US" w:eastAsia="zh-CN" w:bidi="ar"/>
        </w:rPr>
        <w:t>13623168623</w:t>
      </w:r>
    </w:p>
    <w:p w14:paraId="584770A2">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微信：</w:t>
      </w:r>
      <w:r>
        <w:rPr>
          <w:rFonts w:hint="eastAsia" w:ascii="仿宋" w:hAnsi="仿宋" w:eastAsia="仿宋" w:cs="仿宋"/>
          <w:color w:val="auto"/>
          <w:sz w:val="24"/>
          <w:szCs w:val="24"/>
        </w:rPr>
        <w:t>QSHLWX</w:t>
      </w:r>
    </w:p>
    <w:p w14:paraId="4C44C67A">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电子邮箱：</w:t>
      </w:r>
    </w:p>
    <w:p w14:paraId="3CC57E1F">
      <w:pPr>
        <w:pStyle w:val="6"/>
        <w:keepNext w:val="0"/>
        <w:pageBreakBefore w:val="0"/>
        <w:widowControl/>
        <w:numPr>
          <w:ilvl w:val="1"/>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乙方项目联系人</w:t>
      </w:r>
    </w:p>
    <w:p w14:paraId="1BCF52C4">
      <w:pPr>
        <w:pStyle w:val="6"/>
        <w:keepNext w:val="0"/>
        <w:pageBreakBefore w:val="0"/>
        <w:widowControl/>
        <w:numPr>
          <w:ilvl w:val="2"/>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乙方确认如下项目联系信息：</w:t>
      </w:r>
    </w:p>
    <w:p w14:paraId="534F22B2">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联系人：</w:t>
      </w:r>
      <w:r>
        <w:rPr>
          <w:rFonts w:hint="eastAsia" w:ascii="仿宋" w:hAnsi="仿宋" w:eastAsia="仿宋" w:cs="仿宋"/>
          <w:color w:val="auto"/>
          <w:sz w:val="24"/>
          <w:szCs w:val="24"/>
          <w:u w:val="none"/>
          <w:lang w:val="en-US" w:eastAsia="zh-CN"/>
        </w:rPr>
        <w:t>冉佳霖</w:t>
      </w:r>
    </w:p>
    <w:p w14:paraId="69596858">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地址：</w:t>
      </w:r>
      <w:r>
        <w:rPr>
          <w:rFonts w:hint="eastAsia" w:ascii="仿宋" w:hAnsi="仿宋" w:eastAsia="仿宋" w:cs="仿宋"/>
          <w:color w:val="auto"/>
          <w:sz w:val="24"/>
          <w:szCs w:val="24"/>
          <w:lang w:val="en-US" w:eastAsia="zh-CN"/>
        </w:rPr>
        <w:t>北京市朝阳区广渠门外大街8号优士阁B座1505室</w:t>
      </w:r>
    </w:p>
    <w:p w14:paraId="6E815599">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u w:val="single"/>
          <w:lang w:val="en-US" w:eastAsia="zh-CN"/>
        </w:rPr>
      </w:pPr>
      <w:r>
        <w:rPr>
          <w:rFonts w:hint="eastAsia" w:ascii="仿宋" w:hAnsi="仿宋" w:eastAsia="仿宋" w:cs="仿宋"/>
          <w:color w:val="auto"/>
          <w:sz w:val="24"/>
          <w:szCs w:val="24"/>
        </w:rPr>
        <w:t>手机：</w:t>
      </w:r>
      <w:r>
        <w:rPr>
          <w:rFonts w:hint="eastAsia" w:ascii="仿宋" w:hAnsi="仿宋" w:eastAsia="仿宋" w:cs="仿宋"/>
          <w:color w:val="auto"/>
          <w:sz w:val="24"/>
          <w:szCs w:val="24"/>
          <w:u w:val="none"/>
          <w:lang w:val="en-US" w:eastAsia="zh-CN"/>
        </w:rPr>
        <w:t>18701390801</w:t>
      </w:r>
    </w:p>
    <w:p w14:paraId="34866EC2">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u w:val="none"/>
          <w:lang w:val="en-US" w:eastAsia="zh-CN"/>
        </w:rPr>
      </w:pPr>
      <w:r>
        <w:rPr>
          <w:rFonts w:hint="eastAsia" w:ascii="仿宋" w:hAnsi="仿宋" w:eastAsia="仿宋" w:cs="仿宋"/>
          <w:color w:val="auto"/>
          <w:sz w:val="24"/>
          <w:szCs w:val="24"/>
        </w:rPr>
        <w:t>微信：</w:t>
      </w:r>
      <w:r>
        <w:rPr>
          <w:rFonts w:hint="eastAsia" w:ascii="仿宋" w:hAnsi="仿宋" w:eastAsia="仿宋" w:cs="仿宋"/>
          <w:color w:val="auto"/>
          <w:sz w:val="24"/>
          <w:szCs w:val="24"/>
          <w:u w:val="none"/>
          <w:lang w:val="en-US" w:eastAsia="zh-CN"/>
        </w:rPr>
        <w:t>Jimmy--Ran</w:t>
      </w:r>
    </w:p>
    <w:p w14:paraId="1E4E787E">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电子邮箱：</w:t>
      </w:r>
    </w:p>
    <w:p w14:paraId="30EBF387">
      <w:pPr>
        <w:pStyle w:val="6"/>
        <w:keepNext w:val="0"/>
        <w:pageBreakBefore w:val="0"/>
        <w:widowControl/>
        <w:numPr>
          <w:ilvl w:val="2"/>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乙方确认，乙方项目联系人的权限仅限于下列：</w:t>
      </w:r>
    </w:p>
    <w:p w14:paraId="0A42B271">
      <w:pPr>
        <w:pStyle w:val="6"/>
        <w:keepNext w:val="0"/>
        <w:pageBreakBefore w:val="0"/>
        <w:widowControl/>
        <w:numPr>
          <w:ilvl w:val="3"/>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代表乙方提交、接受项目有关资料、文档、工作成果。</w:t>
      </w:r>
    </w:p>
    <w:p w14:paraId="3DC50230">
      <w:pPr>
        <w:pStyle w:val="6"/>
        <w:keepNext w:val="0"/>
        <w:pageBreakBefore w:val="0"/>
        <w:widowControl/>
        <w:numPr>
          <w:ilvl w:val="3"/>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代表乙方对服务进行沟通、提出意见。</w:t>
      </w:r>
    </w:p>
    <w:p w14:paraId="405E881D">
      <w:pPr>
        <w:pStyle w:val="6"/>
        <w:keepNext w:val="0"/>
        <w:pageBreakBefore w:val="0"/>
        <w:widowControl/>
        <w:numPr>
          <w:ilvl w:val="1"/>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除非双方另有约定，合同双方可通过指定电子邮箱提供资料、文档、工作成果电子版。</w:t>
      </w:r>
    </w:p>
    <w:p w14:paraId="530D9AC4">
      <w:pPr>
        <w:pStyle w:val="6"/>
        <w:keepNext w:val="0"/>
        <w:pageBreakBefore w:val="0"/>
        <w:widowControl/>
        <w:numPr>
          <w:ilvl w:val="1"/>
          <w:numId w:val="9"/>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双方确认上述联系方式同时作为有效司法送达地址。</w:t>
      </w:r>
    </w:p>
    <w:p w14:paraId="2FF9F1A3">
      <w:pPr>
        <w:pStyle w:val="4"/>
        <w:keepNext w:val="0"/>
        <w:pageBreakBefore w:val="0"/>
        <w:widowControl/>
        <w:numPr>
          <w:ilvl w:val="0"/>
          <w:numId w:val="10"/>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争议解决</w:t>
      </w:r>
    </w:p>
    <w:p w14:paraId="3A06D176">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因本合同以及本合同项下订单/附件/补充协议等（如有）引起或有关的任何争议，均提请</w:t>
      </w:r>
      <w:r>
        <w:rPr>
          <w:rFonts w:hint="eastAsia" w:ascii="仿宋" w:hAnsi="仿宋" w:eastAsia="仿宋" w:cs="仿宋"/>
          <w:color w:val="auto"/>
          <w:sz w:val="24"/>
          <w:szCs w:val="24"/>
          <w:lang w:val="en-US" w:eastAsia="zh-CN"/>
        </w:rPr>
        <w:t>北京</w:t>
      </w:r>
      <w:r>
        <w:rPr>
          <w:rFonts w:hint="eastAsia" w:ascii="仿宋" w:hAnsi="仿宋" w:eastAsia="仿宋" w:cs="仿宋"/>
          <w:color w:val="auto"/>
          <w:sz w:val="24"/>
          <w:szCs w:val="24"/>
          <w:u w:val="none"/>
        </w:rPr>
        <w:t>仲裁委员会</w:t>
      </w:r>
      <w:r>
        <w:rPr>
          <w:rFonts w:hint="eastAsia" w:ascii="仿宋" w:hAnsi="仿宋" w:eastAsia="仿宋" w:cs="仿宋"/>
          <w:color w:val="auto"/>
          <w:sz w:val="24"/>
          <w:szCs w:val="24"/>
        </w:rPr>
        <w:t>按照其仲裁规则进行仲裁。仲裁裁决是终局的，对合同各方均有约束力。</w:t>
      </w:r>
    </w:p>
    <w:p w14:paraId="1F855864">
      <w:pPr>
        <w:pStyle w:val="4"/>
        <w:keepNext w:val="0"/>
        <w:pageBreakBefore w:val="0"/>
        <w:widowControl/>
        <w:numPr>
          <w:ilvl w:val="0"/>
          <w:numId w:val="11"/>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附则</w:t>
      </w:r>
    </w:p>
    <w:p w14:paraId="5A39E200">
      <w:pPr>
        <w:pStyle w:val="6"/>
        <w:keepNext w:val="0"/>
        <w:pageBreakBefore w:val="0"/>
        <w:widowControl/>
        <w:numPr>
          <w:ilvl w:val="1"/>
          <w:numId w:val="11"/>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本合同一式</w:t>
      </w:r>
      <w:r>
        <w:rPr>
          <w:rFonts w:hint="eastAsia" w:ascii="仿宋" w:hAnsi="仿宋" w:eastAsia="仿宋" w:cs="仿宋"/>
          <w:color w:val="auto"/>
          <w:sz w:val="24"/>
          <w:szCs w:val="24"/>
          <w:lang w:val="en-US" w:eastAsia="zh-CN"/>
        </w:rPr>
        <w:t>二</w:t>
      </w:r>
      <w:r>
        <w:rPr>
          <w:rFonts w:hint="eastAsia" w:ascii="仿宋" w:hAnsi="仿宋" w:eastAsia="仿宋" w:cs="仿宋"/>
          <w:color w:val="auto"/>
          <w:sz w:val="24"/>
          <w:szCs w:val="24"/>
        </w:rPr>
        <w:t>份，甲乙双方各留一份。各份合同文本具有同等法律效力。</w:t>
      </w:r>
    </w:p>
    <w:p w14:paraId="6E6FC083">
      <w:pPr>
        <w:pStyle w:val="6"/>
        <w:keepNext w:val="0"/>
        <w:pageBreakBefore w:val="0"/>
        <w:widowControl/>
        <w:numPr>
          <w:ilvl w:val="1"/>
          <w:numId w:val="11"/>
        </w:numPr>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本合同经各方签名或盖章后生效。</w:t>
      </w:r>
    </w:p>
    <w:p w14:paraId="6621626E">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（以下无合同正文）</w:t>
      </w:r>
    </w:p>
    <w:p w14:paraId="74251691">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p>
    <w:p w14:paraId="3C9B38BA">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签订时间：</w:t>
      </w:r>
      <w:r>
        <w:rPr>
          <w:rFonts w:hint="eastAsia" w:ascii="仿宋" w:hAnsi="仿宋" w:eastAsia="仿宋" w:cs="仿宋"/>
          <w:color w:val="auto"/>
          <w:sz w:val="24"/>
          <w:szCs w:val="24"/>
          <w:lang w:val="en-US" w:eastAsia="zh-CN"/>
        </w:rPr>
        <w:t>2026</w:t>
      </w:r>
      <w:r>
        <w:rPr>
          <w:rFonts w:hint="eastAsia" w:ascii="仿宋" w:hAnsi="仿宋" w:eastAsia="仿宋" w:cs="仿宋"/>
          <w:color w:val="auto"/>
          <w:sz w:val="24"/>
          <w:szCs w:val="24"/>
        </w:rPr>
        <w:t>年</w:t>
      </w:r>
      <w:r>
        <w:rPr>
          <w:rFonts w:hint="eastAsia" w:ascii="仿宋" w:hAnsi="仿宋" w:eastAsia="仿宋" w:cs="仿宋"/>
          <w:color w:val="auto"/>
          <w:sz w:val="24"/>
          <w:szCs w:val="24"/>
          <w:lang w:val="en-US" w:eastAsia="zh-CN"/>
        </w:rPr>
        <w:t>7</w:t>
      </w:r>
      <w:r>
        <w:rPr>
          <w:rFonts w:hint="eastAsia" w:ascii="仿宋" w:hAnsi="仿宋" w:eastAsia="仿宋" w:cs="仿宋"/>
          <w:color w:val="auto"/>
          <w:sz w:val="24"/>
          <w:szCs w:val="24"/>
        </w:rPr>
        <w:t>月</w:t>
      </w:r>
      <w:r>
        <w:rPr>
          <w:rFonts w:hint="eastAsia" w:ascii="仿宋" w:hAnsi="仿宋" w:eastAsia="仿宋" w:cs="仿宋"/>
          <w:color w:val="auto"/>
          <w:sz w:val="24"/>
          <w:szCs w:val="24"/>
          <w:lang w:val="en-US" w:eastAsia="zh-CN"/>
        </w:rPr>
        <w:t>21</w:t>
      </w:r>
      <w:r>
        <w:rPr>
          <w:rFonts w:hint="eastAsia" w:ascii="仿宋" w:hAnsi="仿宋" w:eastAsia="仿宋" w:cs="仿宋"/>
          <w:color w:val="auto"/>
          <w:sz w:val="24"/>
          <w:szCs w:val="24"/>
        </w:rPr>
        <w:t>日</w:t>
      </w:r>
    </w:p>
    <w:p w14:paraId="0688E90F">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重要提示：甲方已经认真阅读合同，完全理解、明白和同意所有合同内容，签署方在此声明和承诺，签署行为本身即意味着签署方无条件确认同意前述声明，不持任何异议。</w:t>
      </w:r>
    </w:p>
    <w:p w14:paraId="428243C8">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p>
    <w:p w14:paraId="077C651A">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b/>
          <w:color w:val="auto"/>
          <w:sz w:val="24"/>
          <w:szCs w:val="24"/>
        </w:rPr>
      </w:pPr>
    </w:p>
    <w:p w14:paraId="62135A31">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b/>
          <w:color w:val="auto"/>
          <w:sz w:val="24"/>
          <w:szCs w:val="24"/>
        </w:rPr>
        <w:t>甲方（签名）：</w:t>
      </w:r>
      <w:r>
        <w:rPr>
          <w:rFonts w:hint="eastAsia" w:ascii="仿宋" w:hAnsi="仿宋" w:eastAsia="仿宋" w:cs="仿宋"/>
          <w:color w:val="auto"/>
          <w:sz w:val="24"/>
          <w:szCs w:val="24"/>
          <w:u w:val="single"/>
          <w:lang w:val="en-US" w:eastAsia="zh-CN"/>
        </w:rPr>
        <w:t xml:space="preserve">                             </w:t>
      </w:r>
    </w:p>
    <w:p w14:paraId="075E104B">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p>
    <w:p w14:paraId="6876FDAF">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b/>
          <w:color w:val="auto"/>
          <w:sz w:val="24"/>
          <w:szCs w:val="24"/>
        </w:rPr>
      </w:pPr>
    </w:p>
    <w:p w14:paraId="5FF2ECB1">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r>
        <w:rPr>
          <w:rFonts w:hint="eastAsia" w:ascii="仿宋" w:hAnsi="仿宋" w:eastAsia="仿宋" w:cs="仿宋"/>
          <w:b/>
          <w:color w:val="auto"/>
          <w:sz w:val="24"/>
          <w:szCs w:val="24"/>
        </w:rPr>
        <w:t>乙方（盖章）：</w:t>
      </w:r>
      <w:r>
        <w:rPr>
          <w:rFonts w:hint="eastAsia" w:ascii="仿宋" w:hAnsi="仿宋" w:eastAsia="仿宋" w:cs="仿宋"/>
          <w:color w:val="auto"/>
          <w:sz w:val="24"/>
          <w:szCs w:val="24"/>
        </w:rPr>
        <w:t>北京市曙鹏律师事务所</w:t>
      </w:r>
    </w:p>
    <w:p w14:paraId="318C7996">
      <w:pPr>
        <w:pStyle w:val="6"/>
        <w:keepNext w:val="0"/>
        <w:pageBreakBefore w:val="0"/>
        <w:widowControl/>
        <w:kinsoku/>
        <w:wordWrap/>
        <w:overflowPunct/>
        <w:topLinePunct w:val="0"/>
        <w:autoSpaceDE/>
        <w:autoSpaceDN/>
        <w:bidi w:val="0"/>
        <w:adjustRightInd/>
        <w:snapToGrid/>
        <w:spacing w:before="0" w:beforeAutospacing="0" w:after="0" w:afterAutospacing="0" w:line="460" w:lineRule="exact"/>
        <w:textAlignment w:val="auto"/>
        <w:rPr>
          <w:rFonts w:hint="eastAsia" w:ascii="仿宋" w:hAnsi="仿宋" w:eastAsia="仿宋" w:cs="仿宋"/>
          <w:color w:val="auto"/>
          <w:sz w:val="24"/>
          <w:szCs w:val="24"/>
        </w:rPr>
      </w:pPr>
    </w:p>
    <w:sectPr>
      <w:footerReference r:id="rId3" w:type="default"/>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F92E">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A4CE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8FA4CE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9"/>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1">
    <w:nsid w:val="97EB6103"/>
    <w:multiLevelType w:val="singleLevel"/>
    <w:tmpl w:val="97EB6103"/>
    <w:lvl w:ilvl="0" w:tentative="0">
      <w:start w:val="2"/>
      <w:numFmt w:val="decimal"/>
      <w:suff w:val="space"/>
      <w:lvlText w:val="%1."/>
      <w:lvlJc w:val="left"/>
    </w:lvl>
  </w:abstractNum>
  <w:abstractNum w:abstractNumId="2">
    <w:nsid w:val="B5E306ED"/>
    <w:multiLevelType w:val="multilevel"/>
    <w:tmpl w:val="B5E306ED"/>
    <w:lvl w:ilvl="0" w:tentative="0">
      <w:start w:val="4"/>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3">
    <w:nsid w:val="BF205925"/>
    <w:multiLevelType w:val="multilevel"/>
    <w:tmpl w:val="BF205925"/>
    <w:lvl w:ilvl="0" w:tentative="0">
      <w:start w:val="3"/>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4">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5">
    <w:nsid w:val="0248C179"/>
    <w:multiLevelType w:val="multilevel"/>
    <w:tmpl w:val="0248C179"/>
    <w:lvl w:ilvl="0" w:tentative="0">
      <w:start w:val="8"/>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6">
    <w:nsid w:val="03D62ECE"/>
    <w:multiLevelType w:val="multilevel"/>
    <w:tmpl w:val="03D62ECE"/>
    <w:lvl w:ilvl="0" w:tentative="0">
      <w:start w:val="5"/>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7">
    <w:nsid w:val="25B654F3"/>
    <w:multiLevelType w:val="multilevel"/>
    <w:tmpl w:val="25B654F3"/>
    <w:lvl w:ilvl="0" w:tentative="0">
      <w:start w:val="6"/>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8">
    <w:nsid w:val="2A8F537B"/>
    <w:multiLevelType w:val="multilevel"/>
    <w:tmpl w:val="2A8F537B"/>
    <w:lvl w:ilvl="0" w:tentative="0">
      <w:start w:val="10"/>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9">
    <w:nsid w:val="5A241D34"/>
    <w:multiLevelType w:val="multilevel"/>
    <w:tmpl w:val="5A241D34"/>
    <w:lvl w:ilvl="0" w:tentative="0">
      <w:start w:val="1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10">
    <w:nsid w:val="72183CF9"/>
    <w:multiLevelType w:val="multilevel"/>
    <w:tmpl w:val="72183CF9"/>
    <w:lvl w:ilvl="0" w:tentative="0">
      <w:start w:val="7"/>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4"/>
  </w:num>
  <w:num w:numId="2">
    <w:abstractNumId w:val="1"/>
  </w:num>
  <w:num w:numId="3">
    <w:abstractNumId w:val="3"/>
  </w:num>
  <w:num w:numId="4">
    <w:abstractNumId w:val="2"/>
  </w:num>
  <w:num w:numId="5">
    <w:abstractNumId w:val="6"/>
  </w:num>
  <w:num w:numId="6">
    <w:abstractNumId w:val="7"/>
  </w:num>
  <w:num w:numId="7">
    <w:abstractNumId w:val="10"/>
  </w:num>
  <w:num w:numId="8">
    <w:abstractNumId w:val="5"/>
  </w:num>
  <w:num w:numId="9">
    <w:abstractNumId w:val="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580736"/>
    <w:rsid w:val="2DD959C6"/>
    <w:rsid w:val="3C580736"/>
    <w:rsid w:val="418F019B"/>
    <w:rsid w:val="70C17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2"/>
    <w:basedOn w:val="1"/>
    <w:next w:val="1"/>
    <w:qFormat/>
    <w:uiPriority w:val="9"/>
    <w:pPr>
      <w:keepLines/>
      <w:spacing w:before="280" w:beforeAutospacing="0" w:after="280" w:afterAutospacing="0"/>
      <w:jc w:val="center"/>
      <w:outlineLvl w:val="0"/>
    </w:pPr>
    <w:rPr>
      <w:b/>
      <w:color w:val="000000"/>
      <w:sz w:val="32"/>
    </w:rPr>
  </w:style>
  <w:style w:type="paragraph" w:styleId="4">
    <w:name w:val="heading 3"/>
    <w:basedOn w:val="1"/>
    <w:next w:val="1"/>
    <w:qFormat/>
    <w:uiPriority w:val="9"/>
    <w:pPr>
      <w:keepLines/>
      <w:spacing w:before="280" w:beforeAutospacing="0" w:after="280" w:afterAutospacing="0"/>
      <w:outlineLvl w:val="1"/>
    </w:pPr>
    <w:rPr>
      <w:b/>
      <w:color w:val="000000"/>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Normal (Web)"/>
    <w:basedOn w:val="1"/>
    <w:qFormat/>
    <w:uiPriority w:val="99"/>
    <w:pPr>
      <w:spacing w:before="100" w:beforeAutospacing="1" w:after="100" w:afterAutospacing="1"/>
    </w:pPr>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2329</Words>
  <Characters>2466</Characters>
  <Lines>0</Lines>
  <Paragraphs>0</Paragraphs>
  <TotalTime>10</TotalTime>
  <ScaleCrop>false</ScaleCrop>
  <LinksUpToDate>false</LinksUpToDate>
  <CharactersWithSpaces>2505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2026-07-12T03:34:00Z</dcterms:created>
  <dc:creator>戴勇</dc:creator>
  <cp:lastModifiedBy>戴勇</cp:lastModifiedBy>
  <dcterms:modified xsi:type="dcterms:W3CDTF">2026-07-21T00:15:59Z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7444FF88CFC7495AA26B096E237E4508_13</vt:lpwstr>
  </property>
  <property fmtid="{D5CDD505-2E9C-101B-9397-08002B2CF9AE}" pid="4" name="KSOTemplateDocerSaveRecord">
    <vt:lpwstr>eyJoZGlkIjoiYTc2ZGZiNzZiNDVlOGViOWVmM2JhOTY0NGJkNjUyYzgiLCJ1c2VySWQiOiIyNDUwOTg2ODUifQ==</vt:lpwstr>
  </property>
</Properties>
</file>