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01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质证意见</w:t>
      </w:r>
    </w:p>
    <w:p w14:paraId="08CCB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案号：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（2026）冀1082民初7275号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案由：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合伙合同纠纷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质证人（被告）：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张长松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对方当事人（原告）：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王书坡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提交日期：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2026年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月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日</w:t>
      </w:r>
    </w:p>
    <w:p w14:paraId="0FD3E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一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对原告证一《原告微信聊天记录》的质证意见</w:t>
      </w:r>
    </w:p>
    <w:p w14:paraId="63C9F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关于关联性</w:t>
      </w:r>
    </w:p>
    <w:p w14:paraId="20644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对该证据与“合伙关系成立、盈亏五五分担”之待证事实的关联性无异议；但对该证据与“5000元止损惯例”“被告强行要求继续持有”“被告存在重大过错及因果关系”之待证事实的关联性均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不认可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。</w:t>
      </w:r>
    </w:p>
    <w:p w14:paraId="36ED5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1）微信聊天记录内容庞杂，时间跨度长，原告仅选择性截取对其有利的片段，未完整呈现双方就案涉股票持续沟通、共同决策的全过程。聊天记录中虽有原告询问“这个继续拿着？”“这股票怎么弄老张”等表述，但被告的回应多为“拿着吧”“等，能大涨”“下周必起”等基于市场行情研判的协商意见，而非单方面强制命令。原告在2024年7月29日询问“这个票拿2个月了老张”，被告回复“拿住吧，昨日试盘，快起动了”，原告随即回复“哦”；2024年8月23日原告问“这个继续拿着？”，被告答“拿着吧……我估计他要起飞快了，拿着吧”。上述内容恰恰证明原告对被告的持仓建议予以认可，双方系共同决策，而非被告“强行要求继续持有”。</w:t>
      </w:r>
    </w:p>
    <w:p w14:paraId="6CAA0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（2）更为重要的是，双方就案涉股票亏损的处理方式，已于2026年3月25日达成新的附条件结算安排。该安排形成于原告所谓“多次止损提示”之后，系双方对原合伙关系项下亏损分担方式的最新合意。</w:t>
      </w:r>
    </w:p>
    <w:p w14:paraId="0C9D9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关于合法性</w:t>
      </w:r>
    </w:p>
    <w:p w14:paraId="5D487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合法性无异议。</w:t>
      </w:r>
    </w:p>
    <w:p w14:paraId="5E2A2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但需提醒法庭注意：原告提交的聊天记录为截屏打印件，且内容呈现明显的选择性截取痕迹，未能完整反映双方协商过程，其形式完整性存疑，建议法庭要求原告出示原始载体并完整展示聊天上下文。</w:t>
      </w:r>
    </w:p>
    <w:p w14:paraId="714EC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关于真实性</w:t>
      </w:r>
    </w:p>
    <w:p w14:paraId="7C1DA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对该证据中双方聊天主体身份（“装修居士 13623168623老张”为被告张长松，“AO百度-抖音-快手-王波-广点通”为原告王书坡）的真实性无异议；对聊天截屏本身的真实性部分认可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不是双方沟通的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全部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记录，对沟通内容的真实性不认可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。</w:t>
      </w:r>
    </w:p>
    <w:p w14:paraId="2B21C6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需指出：</w:t>
      </w:r>
    </w:p>
    <w:p w14:paraId="1ABB0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1）原告提交的聊天记录存在断章取义之嫌。例如，原告仅截取其询问是否卖出的内容，却未完整呈现其对被告“拿住吧”“等，能大涨”等建议的后续回应（如“哦”“好”等认可性回复），导致无法完整判断双方真实意思。</w:t>
      </w:r>
    </w:p>
    <w:p w14:paraId="3723B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（2）聊天记录显示双方存在大量语音通话，通话内容无法从截屏中体现，原告将通话前的文字提问与被告后续回复割裂使用，可能歪曲沟通原意。</w:t>
      </w:r>
    </w:p>
    <w:p w14:paraId="44F17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关于证明力</w:t>
      </w:r>
    </w:p>
    <w:p w14:paraId="33072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该证据为电子数据，仅能反映双方部分沟通内容，不能证明“5000元止损惯例”“被告强行持仓”“被告存在重大过错”等核心待证事实。</w:t>
      </w:r>
    </w:p>
    <w:p w14:paraId="56B14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根据《证据规定》第90条第4项，存有疑点的电子数据不能单独作为认定案件事实的根据。原告提交的聊天记录内容不完整、存在选择性截取，且与被告证据显示的“双方已达成新的结算安排”存在重大矛盾，其证明力较弱，不能单独支撑原告的诉讼请求。</w:t>
      </w:r>
    </w:p>
    <w:p w14:paraId="16E99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5.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与被告证据的冲突</w:t>
      </w:r>
    </w:p>
    <w:p w14:paraId="404536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原告证一主张被告“强行要求继续持有”“存在重大过错”，但被告证1显示：2026年3月25日下午5时45分许，原告主动要求被告“直接回答我。你怎么处理？”，并在被告表示“我的等”（继续持仓等待）后，主动提出具体方案：“好的，如果退市了。一毛钱没有了。那你给我五万块钱。”“你的票等。就到年底。不管怎么样。你把我这钱结清了。”“如果退市了。那退市之后你就给我结清5万。如果没退市。那就年底给我结清这钱。”被告于同日下午5时56分回复“是的”，对原告方案作出明确承诺。上述内容由原告主动发起、被告明确承诺，足以证明双方已就案涉亏损达成新的附条件结算安排，原“盈亏五五分担”及所谓“5000元止损惯例”已被新的合意所取代或覆盖。</w:t>
      </w:r>
    </w:p>
    <w:p w14:paraId="3606E6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被告证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进一步显示：2026年5月27日上午8时23分，被告以一段完整文字再次确认双方结算方案：“咱俩共同买入绿景中国地产股票，双方风险各半，张长松承诺2026年12月30日若所买股票退市张长松当日支付对方人民币五万元整，若重组停牌按最近交易日双方结算，正常流通按市场价格当日结算”。原告随后回复：“我一直听你按照你说。股票拿来了两年多，股票一直控大亏损……到现在都亏了78502.47元了”“我已经把股票卖了。你现在把钱给我一下，我要用钱”。该聊天内容证明：原告自认其“一直听你按照你说”持股，且自认亏损金额为78502.47元，并自行卖出股票。原告在结算安排存续期间自行卖出股票，系其对合伙财产的单方处分，不能归责于被告。</w:t>
      </w:r>
    </w:p>
    <w:p w14:paraId="0E63F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被告证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显示：2026年5月30日，原告告知被告“股票我已经卖了”“已经全卖了”，被告明确回复“年底呀”“我没让你全卖呀”。该证据直接证明被告对原告提前清仓行为持反对态度，并坚持按结算安排处理。</w:t>
      </w:r>
    </w:p>
    <w:p w14:paraId="7E647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综上，原告证一试图证明的“被告强行持仓、存在过错”与被告证1、证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、证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所显示的“双方已达成新的结算安排、原告自行清仓”存在直接矛盾。结合被告证据，原告证一的证明目的不能成立。</w:t>
      </w:r>
    </w:p>
    <w:p w14:paraId="2D143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二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对原告证二《证券账户入金记录、持仓记录、交易流水、交割单》的质证意见</w:t>
      </w:r>
    </w:p>
    <w:p w14:paraId="7653F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关于关联性</w:t>
      </w:r>
    </w:p>
    <w:p w14:paraId="2B41C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对该证据与“被告拒不止损存在过错”“扩损与被告行为存在直接因果关系”之待证事实的关联性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不认可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。</w:t>
      </w:r>
    </w:p>
    <w:p w14:paraId="26708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理由：证券账户记录仅能客观反映资金进出、股票买入卖出、盈亏金额等事实，不能据此推断被告主观上存在“拒不止损”的过错，更不能直接证明亏损扩大与被告行为之间存在法律上的因果关系。结论：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无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关联。</w:t>
      </w:r>
    </w:p>
    <w:p w14:paraId="680DA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关于合法性</w:t>
      </w:r>
    </w:p>
    <w:p w14:paraId="19658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该证据系原告证券账户的交易记录，合法性无异议。</w:t>
      </w:r>
    </w:p>
    <w:p w14:paraId="347A3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关于真实性</w:t>
      </w:r>
    </w:p>
    <w:p w14:paraId="5699E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无异议。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对该证据所载资金出入、交易时间、成交价格、成交量、盈亏金额等客观数据的真实性无异议。根据该证据显示：案涉“绿景中国地产”股票于2024年5月27日买入建仓，买入均价0.875港元，成交数量126000股，成交金额约10.24万港元；于2026年5月21日卖出清仓，卖出均价0.220港元，成交金额约2.41万港元；累计盈亏为-78509.27元，持仓天数466天。</w:t>
      </w:r>
    </w:p>
    <w:p w14:paraId="7E893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但需指出：该证据显示清仓时间为2026年5月21日，而双方结算安排约定的结算期限为2026年12月30日或2026年年底。原告在约定期限届满前近7个月即自行清仓，该事实对判断责任归属具有关键意义，原告证据本身不能解释其提前清仓的合理性。</w:t>
      </w:r>
    </w:p>
    <w:p w14:paraId="610DD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关于证明力</w:t>
      </w:r>
    </w:p>
    <w:p w14:paraId="12483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其仅能证明“发生了多少亏损”，不能证明“亏损为何发生”“谁对亏损扩大存在过错”。</w:t>
      </w:r>
    </w:p>
    <w:p w14:paraId="2F3A7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bCs/>
          <w:color w:val="000000"/>
          <w:sz w:val="24"/>
          <w:szCs w:val="24"/>
          <w:lang w:val="en-US" w:eastAsia="zh-CN"/>
        </w:rPr>
        <w:t>5.与被告证据冲突</w:t>
      </w:r>
      <w:r>
        <w:rPr>
          <w:rFonts w:hint="eastAsia" w:ascii="仿宋" w:hAnsi="仿宋" w:eastAsia="仿宋" w:cs="仿宋"/>
          <w:b w:val="0"/>
          <w:bCs/>
          <w:color w:val="000000"/>
          <w:sz w:val="24"/>
          <w:szCs w:val="24"/>
        </w:rPr>
        <w:t>：</w:t>
      </w:r>
    </w:p>
    <w:p w14:paraId="29438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原告证二显示最终亏损金额为78509.27元，但该金额是在原告自行提前清仓的情况下形成的。被告证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显示，原告于2026年5月27日告知被告“到现在都亏了78502.47元了”“我已经把股票卖了”，并发送证券账户余额截图显示余额为24082.46元。被告证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显示，2026年5月30日原告告知被告“股票我已经卖了”“已经全卖了”，被告回复“我没让你全卖呀”“年底呀”。</w:t>
      </w:r>
    </w:p>
    <w:p w14:paraId="728F0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上述被告证据补充了原告证二未能呈现的关键事实：其一，原告在2026年5月21日卖出股票后，于5月27日才告知被告，且被告此时才知道原告已清仓；其二，原告自行清仓时，双方结算安排尚未到履行期限（2026年12月30日/年底），结算条件（退市/未退市）亦未确定；其三，被告对原告提前清仓行为明确表示反对。因此，原告证二所证明的“最终亏损金额”实际上是原告违反结算安排、单方处分合伙财产的结果，不能作为向被告主张过错赔偿的依据。</w:t>
      </w:r>
    </w:p>
    <w:p w14:paraId="59F3A5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三、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对原告证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《</w:t>
      </w:r>
      <w:r>
        <w:rPr>
          <w:rFonts w:ascii="华文仿宋" w:hAnsi="华文仿宋" w:eastAsia="华文仿宋" w:cs="华文仿宋"/>
          <w:b/>
          <w:bCs/>
          <w:color w:val="auto"/>
          <w:kern w:val="0"/>
          <w:sz w:val="24"/>
          <w:szCs w:val="24"/>
          <w:lang w:val="en-US" w:eastAsia="zh-CN" w:bidi="ar"/>
        </w:rPr>
        <w:t>原告以往盈利分红转账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》的质证意见</w:t>
      </w:r>
    </w:p>
    <w:p w14:paraId="4B66F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关于关联性</w:t>
      </w:r>
    </w:p>
    <w:p w14:paraId="20003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对该证据与“原、被告之间存在合伙关系”“过往盈利按五五分成”之待证事实的关联性无异议；但对该证据与“双方存在5000元止损固定惯例”“本次被告拒不止损存在明显过错”之待证事实的关联性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不认可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。</w:t>
      </w:r>
    </w:p>
    <w:p w14:paraId="36CDC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（1）盈利分红记录仅能证明双方在盈利时按约定分配，不能反向推导出亏损时存在“5000元即止损”的固定惯例。盈利分配规则与止损规则在逻辑上属于不同事项，不能混为一谈。</w:t>
      </w:r>
    </w:p>
    <w:p w14:paraId="18E08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（2）原告证二显示案涉股票持仓466天，远超日常短线操作周期，说明双方对案涉股票采取了不同的投资策略，不能简单套用过往交易习惯。</w:t>
      </w:r>
    </w:p>
    <w:p w14:paraId="3DCB4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（3）更为重要的是，双方已于2026年3月25日就案涉股票亏损达成新的附条件结算安排，过往交易惯例即便存在，也已被新的合意所取代。</w:t>
      </w:r>
    </w:p>
    <w:p w14:paraId="090C3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关于合法性</w:t>
      </w:r>
    </w:p>
    <w:p w14:paraId="7D232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该证据系微信转账记录，合法性无异议。</w:t>
      </w:r>
    </w:p>
    <w:p w14:paraId="25BAC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关于真实性</w:t>
      </w:r>
    </w:p>
    <w:p w14:paraId="666D2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对转账记录本身的真实性无异议。上述转账可证明双方此前存在盈利五五分成的事实。</w:t>
      </w:r>
    </w:p>
    <w:p w14:paraId="61E83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但需指出：该证据未显示任何一次亏损超过5000元时的处理方式，不能证明“亏损达到5000元即统一止损”的惯例确实存在。</w:t>
      </w:r>
    </w:p>
    <w:p w14:paraId="6B3FF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关于证明力</w:t>
      </w:r>
    </w:p>
    <w:p w14:paraId="1171A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b w:val="0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该证据为电子数据（转账记录），对“双方存在盈利分成约定”具有较强的证明力，但对“5000元止损惯例”及“被告过错”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没有证明力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。</w:t>
      </w:r>
    </w:p>
    <w:p w14:paraId="4009A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（1）该证据仅涉及盈利分配，未涉及大额亏损处理；</w:t>
      </w:r>
    </w:p>
    <w:p w14:paraId="04D6F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（2）案涉股票持仓周期长达466天，与过往短期操作存在本质差异；</w:t>
      </w:r>
    </w:p>
    <w:p w14:paraId="5EB35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（3）双方后续已达成新的结算安排。</w:t>
      </w:r>
    </w:p>
    <w:p w14:paraId="44F7A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根据《证据规定》第90条第4项，该证据不能单独证明原告所主张的止损惯例及被告过错。</w:t>
      </w:r>
    </w:p>
    <w:p w14:paraId="3AFB8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5.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与被告证据冲突</w:t>
      </w:r>
    </w:p>
    <w:p w14:paraId="51E37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被告证1显示，双方就案涉股票亏损已于2026年3月25日达成新的附条件结算安排，原告主动提出“退市付5万、未退市年底结清”，被告承诺“是的”，原告确认“好的”。该新的合意已经取代了原合伙关系项下的亏损分担方式，也覆盖了任何可能存在的过往止损习惯。</w:t>
      </w:r>
    </w:p>
    <w:p w14:paraId="70EBB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被告证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进一步以完整文字确认了结算方案，并明确结算条件与期限。因此，原告证三所试图证明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本就不存在的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“5000元止损惯例”及“被告过错”，已被被告证1—证4所推翻或证伪。</w:t>
      </w:r>
    </w:p>
    <w:p w14:paraId="23826C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四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对原告证四《涉案股票K线走势、行情下跌记录》的质证意见</w:t>
      </w:r>
    </w:p>
    <w:p w14:paraId="42D6C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关于关联性</w:t>
      </w:r>
    </w:p>
    <w:p w14:paraId="723B5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对该证据与“原告止损提议合理”“被告执意持仓存在重大过失”之待证事实的关联性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不认可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。</w:t>
      </w:r>
    </w:p>
    <w:p w14:paraId="3EC5C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理由：K线走势仅能客观反映股价波动情况，不能据此判断原告的止损提议是否“合理审慎”，更不能直接证明被告“执意持仓”存在重大过失。股票价格下跌是市场风险的正常体现，被告基于对行业政策、公司重组预期的判断建议继续持仓，属于投资决策分歧，不等同于法律意义上的重大过失。</w:t>
      </w:r>
    </w:p>
    <w:p w14:paraId="39968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关于合法性</w:t>
      </w:r>
    </w:p>
    <w:p w14:paraId="72A21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该证据系公开股票行情数据，合法性无异议。</w:t>
      </w:r>
    </w:p>
    <w:p w14:paraId="3780B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关于真实性</w:t>
      </w:r>
    </w:p>
    <w:p w14:paraId="20B9C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该证据未能完整呈现股价波动中的反弹、盘整等过程，亦未能反映被告基于重组预期作出持仓判断的市场背景，存在片面性。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真实性不认可</w:t>
      </w:r>
    </w:p>
    <w:p w14:paraId="533C9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关于证明力</w:t>
      </w:r>
    </w:p>
    <w:p w14:paraId="757B6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该证据属于间接证据，对股价下跌事实具有一定证明力，股票投资风险本身具有不确定性，价格下跌不能直接等同于被告存在重大过失。</w:t>
      </w:r>
      <w:bookmarkStart w:id="0" w:name="_GoBack"/>
      <w:bookmarkEnd w:id="0"/>
    </w:p>
    <w:p w14:paraId="4CF04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5.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与被告证据冲突</w:t>
      </w:r>
    </w:p>
    <w:p w14:paraId="21282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原告证四仅呈现股价持续下跌的结果，试图推定被告“执意持仓”存在重大过失。但被告证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显示，2026年5月19日原告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表示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“这是重点。推迟了三个月是想重组而已”，表明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原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告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也认可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继续持仓并非盲目放任风险，而是基于对公司重组预期的判断。被告证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显示，被告于2026年5月27日再次以文字形式明确结算方案，其中特别约定“若重组停牌按最近交易日双方结算，正常流通按市场价格当日结算”。该约定内容本身即说明双方在达成结算安排时，已经充分考虑了重组停牌、正常流通等不同情形，被告并非不顾风险。</w:t>
      </w:r>
    </w:p>
    <w:p w14:paraId="372D4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被告证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显示，原告于2026年5月30日告知被告已全仓卖出，被告明确反对“我没让你全卖呀”，并坚持“年底呀”。该事实证明，在原告提前清仓之前，被告仍希望按照结算安排等待至年底或退市条件确定后再行结算，而非“执意持仓”至完全损失。</w:t>
      </w:r>
    </w:p>
    <w:p w14:paraId="77DC6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1A263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质证人：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张长松</w:t>
      </w:r>
    </w:p>
    <w:p w14:paraId="53E1B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jc w:val="center"/>
        <w:textAlignment w:val="auto"/>
        <w:rPr>
          <w:rFonts w:hint="eastAsia" w:ascii="仿宋" w:hAnsi="仿宋" w:eastAsia="仿宋" w:cs="仿宋"/>
          <w:b/>
          <w:color w:val="000000"/>
          <w:sz w:val="24"/>
          <w:szCs w:val="24"/>
        </w:rPr>
      </w:pPr>
    </w:p>
    <w:p w14:paraId="7BF3D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6" w:lineRule="exact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b/>
          <w:color w:val="000000"/>
          <w:sz w:val="24"/>
          <w:szCs w:val="24"/>
        </w:rPr>
        <w:t>日期：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2026年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月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b w:val="0"/>
          <w:color w:val="000000"/>
          <w:sz w:val="24"/>
          <w:szCs w:val="24"/>
        </w:rPr>
        <w:t>日</w:t>
      </w:r>
    </w:p>
    <w:sectPr>
      <w:footerReference r:id="rId5" w:type="default"/>
      <w:pgSz w:w="12240" w:h="15840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7767A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E1FF4A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E1FF4A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77EE9"/>
    <w:rsid w:val="088415FD"/>
    <w:rsid w:val="0C841E3B"/>
    <w:rsid w:val="172C36A3"/>
    <w:rsid w:val="5D761C1C"/>
    <w:rsid w:val="5FB331E1"/>
    <w:rsid w:val="621C201C"/>
    <w:rsid w:val="73572D0D"/>
    <w:rsid w:val="7A35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7369</Words>
  <Characters>7769</Characters>
  <Lines>0</Lines>
  <Paragraphs>0</Paragraphs>
  <TotalTime>31</TotalTime>
  <ScaleCrop>false</ScaleCrop>
  <LinksUpToDate>false</LinksUpToDate>
  <CharactersWithSpaces>7816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戴勇</cp:lastModifiedBy>
  <dcterms:modified xsi:type="dcterms:W3CDTF">2026-08-04T05:01:28Z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eyJoZGlkIjoiYTc2ZGZiNzZiNDVlOGViOWVmM2JhOTY0NGJkNjUyYzgiLCJ1c2VySWQiOiIyNDUwOTg2ODUifQ==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7738B576B98B4681B628334B2F8BF7B3_12</vt:lpwstr>
  </property>
</Properties>
</file>