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xxx 遗产诉讼案原告质证书</w:t>
      </w:r>
    </w:p>
    <w:p>
      <w:pPr>
        <w:spacing w:after="120"/>
      </w:pPr>
      <w:r>
        <w:t xml:space="preserve">案件：xxx 遗产诉讼案</w:t>
      </w:r>
    </w:p>
    <w:p>
      <w:pPr>
        <w:spacing w:after="120"/>
      </w:pPr>
      <w:r>
        <w:t xml:space="preserve">生成时间：2026/9/19 16:03:32</w:t>
      </w:r>
    </w:p>
    <w:p>
      <w:pPr>
        <w:spacing w:after="240"/>
      </w:pPr>
      <w:r>
        <w:t xml:space="preserve">生成角色：原告质证</w:t>
      </w:r>
    </w:p>
    <w:p>
      <w:pPr>
        <w:spacing w:after="80" w:before="120"/>
      </w:pPr>
      <w:r>
        <w:rPr>
          <w:b/>
          <w:bCs/>
        </w:rPr>
        <w:t xml:space="preserve">第 1 段</w:t>
      </w:r>
    </w:p>
    <w:p>
      <w:pPr>
        <w:spacing w:after="160"/>
      </w:pPr>
      <w:r>
        <w:t xml:space="preserve">原告质证意见：针对证据 E01《死亡医学证明书》，当前可重点围绕“真实性、关联性与证明力”展开核验。结合材料摘录“被继承人张某某，男，1949年11月2日出生，于2025年12月16日因心源性疾病死亡。出具单位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2 段</w:t>
      </w:r>
    </w:p>
    <w:p>
      <w:pPr>
        <w:spacing w:after="160"/>
      </w:pPr>
      <w:r>
        <w:t xml:space="preserve">原告质证意见：针对证据 E02《不动产登记信息查询单》，当前可重点围绕“真实性、关联性与证明力”展开核验。结合材料摘录“涉案房屋坐落于海淀区知春路 88 号 3 单元 1202 室，不动产权证号 京(2020)海不动”，建议进一步核对形成时间、来源链路及与待证事实的对应关系。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3 段</w:t>
      </w:r>
    </w:p>
    <w:p>
      <w:pPr>
        <w:spacing w:after="160"/>
      </w:pPr>
      <w:r>
        <w:t xml:space="preserve">原告质证意见：针对证据 E03《银行账户余额及交易流水》，当前可重点围绕“真实性、关联性与证明力”展开核验。结合材料摘录“截至2025年12月15日，被继承人尾号 3281 账户余额为 426532.18 元。2025”，建议进一步核对形成时间、来源链路及与待证事实的对应关系。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4 段</w:t>
      </w:r>
    </w:p>
    <w:p>
      <w:pPr>
        <w:spacing w:after="160"/>
      </w:pPr>
      <w:r>
        <w:t xml:space="preserve">原告质证意见：针对证据 E04《亲属关系证明及户籍材料》，当前可重点围绕“真实性、关联性与证明力”展开核验。结合材料摘录“户籍信息显示张某某与原告李某系母子关系，与被告王某系次子关系。社区出具亲属关系证明确认原告、被告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5 段</w:t>
      </w:r>
    </w:p>
    <w:p>
      <w:pPr>
        <w:spacing w:after="160"/>
      </w:pPr>
      <w:r>
        <w:t xml:space="preserve">原告质证意见：针对证据 E05《家庭协商录音文字整理》，当前可重点围绕“真实性、关联性与证明力”展开核验。结合材料摘录“录音整理显示：原告提出应先对房屋和存款进行清点后再协商分割；被告王某表示“房子先由我住着，银行那”，建议进一步核对形成时间、来源链路及与待证事实的对应关系。</w:t>
      </w:r>
    </w:p>
    <w:p>
      <w:pPr>
        <w:spacing w:after="80" w:before="120"/>
      </w:pPr>
      <w:r>
        <w:rPr>
          <w:b/>
          <w:bCs/>
        </w:rPr>
        <w:t xml:space="preserve">第 6 段</w:t>
      </w:r>
    </w:p>
    <w:p>
      <w:pPr>
        <w:spacing w:after="160"/>
      </w:pPr>
      <w:r>
        <w:t xml:space="preserve">原告质证意见：针对证据 E06《微信聊天记录（遗产分配沟通）》，当前可重点围绕“真实性、关联性与证明力”展开核验。结合材料摘录“2026年1月12日，被告王某在家庭群中发送消息：“房本和银行卡都在我这里，等年后再统一处理。””，建议进一步核对形成时间、来源链路及与待证事实的对应关系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2026-09-19T08:03:32.470Z</dcterms:created>
  <dcterms:modified xsi:type="dcterms:W3CDTF">2026-09-19T08:03:32.470Z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