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王某买卖合同纠纷原告质证书</w:t>
      </w:r>
    </w:p>
    <w:p>
      <w:pPr>
        <w:spacing w:after="120"/>
      </w:pPr>
      <w:r>
        <w:t xml:space="preserve">案件：王某买卖合同纠纷</w:t>
      </w:r>
    </w:p>
    <w:p>
      <w:pPr>
        <w:spacing w:after="120"/>
      </w:pPr>
      <w:r>
        <w:t xml:space="preserve">生成时间：2026/9/19 12:37:11</w:t>
      </w:r>
    </w:p>
    <w:p>
      <w:pPr>
        <w:spacing w:after="240"/>
      </w:pPr>
      <w:r>
        <w:t xml:space="preserve">生成角色：原告质证</w:t>
      </w:r>
    </w:p>
    <w:p>
      <w:pPr>
        <w:spacing w:after="80" w:before="120"/>
      </w:pPr>
      <w:r>
        <w:rPr>
          <w:b/>
          <w:bCs/>
        </w:rPr>
        <w:t xml:space="preserve">第 1 段</w:t>
      </w:r>
    </w:p>
    <w:p>
      <w:pPr>
        <w:spacing w:after="160"/>
      </w:pPr>
      <w:r>
        <w:t xml:space="preserve">原告质证意见：针对证据 E01《微信聊天记录截图》，当前可重点围绕“真实性、关联性与证明力”展开核验。结合材料摘录“2026年4月12日，被告在微信中确认“货已经收到，本周五前安排尾款”。同日原告回复“请按合同约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2 段</w:t>
      </w:r>
    </w:p>
    <w:p>
      <w:pPr>
        <w:spacing w:after="160"/>
      </w:pPr>
      <w:r>
        <w:t xml:space="preserve">原告质证意见：针对证据 E02《买卖合同》，当前可重点围绕“真实性、关联性与证明力”展开核验。结合材料摘录“合同第3条约定：被告应于收货后七日内支付剩余货款。合同第7条约定：逾期付款的，应按未付款项每日万”，建议进一步核对形成时间、来源链路及与待证事实的对应关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2026-09-19T07:15:50.437Z</dcterms:created>
  <dcterms:modified xsi:type="dcterms:W3CDTF">2026-09-19T07:15:50.437Z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