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xxx 遗产诉讼案原告质证书</w:t>
      </w:r>
    </w:p>
    <w:p>
      <w:pPr>
        <w:spacing w:after="120"/>
      </w:pPr>
      <w:r>
        <w:t xml:space="preserve">案件：xxx 遗产诉讼案</w:t>
      </w:r>
    </w:p>
    <w:p>
      <w:pPr>
        <w:spacing w:after="120"/>
      </w:pPr>
      <w:r>
        <w:t xml:space="preserve">生成时间：2026/9/19 08:39:37</w:t>
      </w:r>
    </w:p>
    <w:p>
      <w:pPr>
        <w:spacing w:after="240"/>
      </w:pPr>
      <w:r>
        <w:t xml:space="preserve">生成角色：原告质证</w:t>
      </w:r>
    </w:p>
    <w:p>
      <w:pPr>
        <w:spacing w:after="80" w:before="120"/>
      </w:pPr>
      <w:r>
        <w:rPr>
          <w:b/>
          <w:bCs/>
        </w:rPr>
        <w:t xml:space="preserve">第 1 段</w:t>
      </w:r>
    </w:p>
    <w:p>
      <w:pPr>
        <w:spacing w:after="160"/>
      </w:pPr>
      <w:r>
        <w:t xml:space="preserve">原告质证意见：针对证据 E01《死亡医学证明书》及证据 E04《亲属关系证明及户籍材料》，可以初步证明被继承人死亡事实已经发生，且原告与被告均属于第一顺序继承人。上述材料形成主体明确、来源稳定，足以作为确认继承关系与遗产分割前提事实的基础证据。</w:t>
      </w:r>
    </w:p>
    <w:p>
      <w:pPr>
        <w:spacing w:after="80" w:before="120"/>
      </w:pPr>
      <w:r>
        <w:rPr>
          <w:b/>
          <w:bCs/>
        </w:rPr>
        <w:t xml:space="preserve">第 2 段</w:t>
      </w:r>
    </w:p>
    <w:p>
      <w:pPr>
        <w:spacing w:after="160"/>
      </w:pPr>
      <w:r>
        <w:t xml:space="preserve">原告质证意见：针对证据 E02《不动产登记信息查询单》、证据 E03《银行账户余额及交易流水》及证据 E05《家庭协商录音文字整理》，现有材料能够相互印证被继承人名下房产及存款属于遗产范围，且在继承开始后存在由被告单方控制、保管乃至转移部分遗产的高度可能，应依法先行查明并采取保全措施。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2026-09-19T08:02:53.680Z</dcterms:created>
  <dcterms:modified xsi:type="dcterms:W3CDTF">2026-09-19T08:02:53.680Z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