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76" w:lineRule="auto"/>
        <w:jc w:val="center"/>
      </w:pPr>
      <w:r>
        <w:rPr>
          <w:rFonts w:ascii="Times New Roman" w:hAnsi="Times New Roman"/>
          <w:b/>
          <w:i w:val="0"/>
          <w:color w:val="000000"/>
          <w:sz w:val="26"/>
        </w:rPr>
        <w:t>MINI PROJECT REPORT</w:t>
      </w:r>
    </w:p>
    <w:p>
      <w:pPr>
        <w:spacing w:after="200" w:before="0" w:line="276" w:lineRule="auto"/>
        <w:jc w:val="center"/>
      </w:pPr>
      <w:r>
        <w:rPr>
          <w:rFonts w:ascii="Times New Roman" w:hAnsi="Times New Roman"/>
          <w:b/>
          <w:i w:val="0"/>
          <w:color w:val="000000"/>
          <w:sz w:val="26"/>
        </w:rPr>
        <w:t>ON</w:t>
      </w:r>
    </w:p>
    <w:p>
      <w:pPr>
        <w:spacing w:after="280" w:before="0" w:line="276" w:lineRule="auto"/>
        <w:jc w:val="center"/>
      </w:pPr>
      <w:r>
        <w:rPr>
          <w:rFonts w:ascii="Times New Roman" w:hAnsi="Times New Roman"/>
          <w:b/>
          <w:i w:val="0"/>
          <w:color w:val="1F487C"/>
          <w:sz w:val="28"/>
        </w:rPr>
        <w:t>“CredLock: Zero-Knowledge Decentralized Identity (DID)</w:t>
        <w:br/>
        <w:t>&amp; Selective Attribute Proofs Engine”</w:t>
      </w:r>
    </w:p>
    <w:p>
      <w:pPr>
        <w:spacing w:after="80" w:before="0" w:line="276" w:lineRule="auto"/>
        <w:jc w:val="center"/>
      </w:pPr>
      <w:r>
        <w:rPr>
          <w:rFonts w:ascii="Times New Roman" w:hAnsi="Times New Roman"/>
          <w:b/>
          <w:i w:val="0"/>
          <w:color w:val="000000"/>
          <w:sz w:val="24"/>
        </w:rPr>
        <w:t>SUBMITTED IN PARTIAL FULFILMENT OF THE REQUIREMENTS OF</w:t>
      </w:r>
    </w:p>
    <w:p>
      <w:pPr>
        <w:spacing w:after="80" w:before="0" w:line="276" w:lineRule="auto"/>
        <w:jc w:val="center"/>
      </w:pPr>
      <w:r>
        <w:rPr>
          <w:rFonts w:ascii="Times New Roman" w:hAnsi="Times New Roman"/>
          <w:b/>
          <w:i w:val="0"/>
          <w:color w:val="000000"/>
          <w:sz w:val="24"/>
        </w:rPr>
        <w:t>DEGREE OF</w:t>
      </w:r>
    </w:p>
    <w:p>
      <w:pPr>
        <w:spacing w:after="80" w:before="0" w:line="276" w:lineRule="auto"/>
        <w:jc w:val="center"/>
      </w:pPr>
      <w:r>
        <w:rPr>
          <w:rFonts w:ascii="Times New Roman" w:hAnsi="Times New Roman"/>
          <w:b/>
          <w:i w:val="0"/>
          <w:color w:val="1F487C"/>
          <w:sz w:val="25"/>
        </w:rPr>
        <w:t>BACHELOR OF ENGINEERING</w:t>
      </w:r>
    </w:p>
    <w:p>
      <w:pPr>
        <w:spacing w:after="200" w:before="0" w:line="276" w:lineRule="auto"/>
        <w:jc w:val="center"/>
      </w:pPr>
      <w:r>
        <w:rPr>
          <w:rFonts w:ascii="Times New Roman" w:hAnsi="Times New Roman"/>
          <w:b/>
          <w:i w:val="0"/>
          <w:color w:val="1F487C"/>
          <w:sz w:val="25"/>
        </w:rPr>
        <w:t>BY</w:t>
      </w:r>
    </w:p>
    <w:p>
      <w:pPr>
        <w:spacing w:after="280" w:line="312" w:lineRule="auto"/>
        <w:jc w:val="center"/>
      </w:pPr>
      <w:r>
        <w:rPr>
          <w:rFonts w:ascii="Times New Roman" w:hAnsi="Times New Roman"/>
          <w:b/>
          <w:i w:val="0"/>
          <w:color w:val="BE0000"/>
          <w:sz w:val="24"/>
        </w:rPr>
        <w:t>SUMAN GHOTGALKAR              BE A 28</w:t>
        <w:br/>
      </w:r>
      <w:r>
        <w:rPr>
          <w:rFonts w:ascii="Times New Roman" w:hAnsi="Times New Roman"/>
          <w:b/>
          <w:i w:val="0"/>
          <w:color w:val="BE0000"/>
          <w:sz w:val="24"/>
        </w:rPr>
        <w:t>BISWARANJAN GIRI                 BE A 29</w:t>
        <w:br/>
      </w:r>
      <w:r>
        <w:rPr>
          <w:rFonts w:ascii="Times New Roman" w:hAnsi="Times New Roman"/>
          <w:b/>
          <w:i w:val="0"/>
          <w:color w:val="BE0000"/>
          <w:sz w:val="24"/>
        </w:rPr>
        <w:t>HARSH GURJAR                        BE A 31</w:t>
      </w:r>
    </w:p>
    <w:p>
      <w:pPr>
        <w:spacing w:after="80" w:before="0" w:line="276" w:lineRule="auto"/>
        <w:jc w:val="center"/>
      </w:pPr>
      <w:r>
        <w:rPr>
          <w:rFonts w:ascii="Times New Roman" w:hAnsi="Times New Roman"/>
          <w:b/>
          <w:i w:val="0"/>
          <w:color w:val="000000"/>
          <w:sz w:val="25"/>
        </w:rPr>
        <w:t>SUPERVISOR</w:t>
      </w:r>
    </w:p>
    <w:p>
      <w:pPr>
        <w:spacing w:after="240" w:before="0" w:line="276" w:lineRule="auto"/>
        <w:jc w:val="center"/>
      </w:pPr>
      <w:r>
        <w:rPr>
          <w:rFonts w:ascii="Times New Roman" w:hAnsi="Times New Roman"/>
          <w:b/>
          <w:i w:val="0"/>
          <w:color w:val="BE0000"/>
          <w:sz w:val="26"/>
        </w:rPr>
        <w:t>Mrs. DIPTI PATIL</w:t>
      </w:r>
    </w:p>
    <w:p>
      <w:pPr>
        <w:spacing w:after="240" w:before="80"/>
        <w:jc w:val="center"/>
      </w:pPr>
      <w:r>
        <w:drawing>
          <wp:inline xmlns:a="http://schemas.openxmlformats.org/drawingml/2006/main" xmlns:pic="http://schemas.openxmlformats.org/drawingml/2006/picture">
            <wp:extent cx="1097280" cy="1208015"/>
            <wp:docPr id="1" name="Picture 1"/>
            <wp:cNvGraphicFramePr>
              <a:graphicFrameLocks noChangeAspect="1"/>
            </wp:cNvGraphicFramePr>
            <a:graphic>
              <a:graphicData uri="http://schemas.openxmlformats.org/drawingml/2006/picture">
                <pic:pic>
                  <pic:nvPicPr>
                    <pic:cNvPr id="0" name="phcet_logo_p1.png"/>
                    <pic:cNvPicPr/>
                  </pic:nvPicPr>
                  <pic:blipFill>
                    <a:blip r:embed="rId9"/>
                    <a:stretch>
                      <a:fillRect/>
                    </a:stretch>
                  </pic:blipFill>
                  <pic:spPr>
                    <a:xfrm>
                      <a:off x="0" y="0"/>
                      <a:ext cx="1097280" cy="1208015"/>
                    </a:xfrm>
                    <a:prstGeom prst="rect"/>
                  </pic:spPr>
                </pic:pic>
              </a:graphicData>
            </a:graphic>
          </wp:inline>
        </w:drawing>
      </w:r>
    </w:p>
    <w:p>
      <w:pPr>
        <w:spacing w:after="0" w:line="288" w:lineRule="auto"/>
        <w:jc w:val="center"/>
      </w:pPr>
      <w:r>
        <w:rPr>
          <w:rFonts w:ascii="Times New Roman" w:hAnsi="Times New Roman"/>
          <w:b/>
          <w:i w:val="0"/>
          <w:color w:val="1F487C"/>
          <w:sz w:val="25"/>
        </w:rPr>
        <w:t>DEPARTMENT OF COMPUTER ENGINEERING</w:t>
        <w:br/>
      </w:r>
      <w:r>
        <w:rPr>
          <w:rFonts w:ascii="Times New Roman" w:hAnsi="Times New Roman"/>
          <w:b/>
          <w:i w:val="0"/>
          <w:color w:val="1F487C"/>
          <w:sz w:val="25"/>
        </w:rPr>
        <w:t>PILLAI HOC COLLEGE OF ENGINEERING AND TECHNOLOGY,</w:t>
        <w:br/>
      </w:r>
      <w:r>
        <w:rPr>
          <w:rFonts w:ascii="Times New Roman" w:hAnsi="Times New Roman"/>
          <w:b/>
          <w:i w:val="0"/>
          <w:color w:val="1F487C"/>
          <w:sz w:val="25"/>
        </w:rPr>
        <w:t>(AUTONOMOUS)</w:t>
        <w:br/>
      </w:r>
      <w:r>
        <w:rPr>
          <w:rFonts w:ascii="Times New Roman" w:hAnsi="Times New Roman"/>
          <w:b/>
          <w:i w:val="0"/>
          <w:color w:val="1F487C"/>
          <w:sz w:val="25"/>
        </w:rPr>
        <w:t>PILLAI’S HOCL EDUCATIONAL CAMPUS, HOCLCOLONY,</w:t>
        <w:br/>
      </w:r>
      <w:r>
        <w:rPr>
          <w:rFonts w:ascii="Times New Roman" w:hAnsi="Times New Roman"/>
          <w:b/>
          <w:i w:val="0"/>
          <w:color w:val="1F487C"/>
          <w:sz w:val="25"/>
        </w:rPr>
        <w:t>RASAYANI, TAL: KHALAPUR, DIST RAIGAD 410207</w:t>
        <w:br/>
      </w:r>
      <w:r>
        <w:rPr>
          <w:rFonts w:ascii="Times New Roman" w:hAnsi="Times New Roman"/>
          <w:b/>
          <w:i w:val="0"/>
          <w:color w:val="1F487C"/>
          <w:sz w:val="25"/>
        </w:rPr>
        <w:t>UNIVERSITY OF MUMBAI</w:t>
        <w:br/>
      </w:r>
      <w:r>
        <w:rPr>
          <w:rFonts w:ascii="Times New Roman" w:hAnsi="Times New Roman"/>
          <w:b/>
          <w:i w:val="0"/>
          <w:color w:val="1F487C"/>
          <w:sz w:val="25"/>
        </w:rPr>
        <w:t>[2026-27]</w:t>
      </w:r>
    </w:p>
    <w:p>
      <w:r>
        <w:br w:type="page"/>
      </w:r>
    </w:p>
    <w:p>
      <w:pPr>
        <w:spacing w:after="120"/>
        <w:jc w:val="center"/>
      </w:pPr>
      <w:r>
        <w:drawing>
          <wp:inline xmlns:a="http://schemas.openxmlformats.org/drawingml/2006/main" xmlns:pic="http://schemas.openxmlformats.org/drawingml/2006/picture">
            <wp:extent cx="822960" cy="989401"/>
            <wp:docPr id="2" name="Picture 2"/>
            <wp:cNvGraphicFramePr>
              <a:graphicFrameLocks noChangeAspect="1"/>
            </wp:cNvGraphicFramePr>
            <a:graphic>
              <a:graphicData uri="http://schemas.openxmlformats.org/drawingml/2006/picture">
                <pic:pic>
                  <pic:nvPicPr>
                    <pic:cNvPr id="0" name="phcet_logo_p2.png"/>
                    <pic:cNvPicPr/>
                  </pic:nvPicPr>
                  <pic:blipFill>
                    <a:blip r:embed="rId10"/>
                    <a:stretch>
                      <a:fillRect/>
                    </a:stretch>
                  </pic:blipFill>
                  <pic:spPr>
                    <a:xfrm>
                      <a:off x="0" y="0"/>
                      <a:ext cx="822960" cy="989401"/>
                    </a:xfrm>
                    <a:prstGeom prst="rect"/>
                  </pic:spPr>
                </pic:pic>
              </a:graphicData>
            </a:graphic>
          </wp:inline>
        </w:drawing>
      </w:r>
    </w:p>
    <w:p>
      <w:pPr>
        <w:spacing w:after="40" w:before="0" w:line="276" w:lineRule="auto"/>
        <w:jc w:val="center"/>
      </w:pPr>
      <w:r>
        <w:rPr>
          <w:rFonts w:ascii="Times New Roman" w:hAnsi="Times New Roman"/>
          <w:b w:val="0"/>
          <w:i w:val="0"/>
          <w:color w:val="000000"/>
          <w:sz w:val="24"/>
        </w:rPr>
        <w:t>Mahatma Education Society’s</w:t>
      </w:r>
    </w:p>
    <w:p>
      <w:pPr>
        <w:spacing w:after="40" w:before="0" w:line="276" w:lineRule="auto"/>
        <w:jc w:val="center"/>
      </w:pPr>
      <w:r>
        <w:rPr>
          <w:rFonts w:ascii="Times New Roman" w:hAnsi="Times New Roman"/>
          <w:b/>
          <w:i w:val="0"/>
          <w:color w:val="000000"/>
          <w:sz w:val="28"/>
        </w:rPr>
        <w:t>Pillai HOC College of Engineering and Technology,</w:t>
      </w:r>
    </w:p>
    <w:p>
      <w:pPr>
        <w:spacing w:after="40" w:before="0" w:line="276" w:lineRule="auto"/>
        <w:jc w:val="center"/>
      </w:pPr>
      <w:r>
        <w:rPr>
          <w:rFonts w:ascii="Times New Roman" w:hAnsi="Times New Roman"/>
          <w:b/>
          <w:i w:val="0"/>
          <w:color w:val="000000"/>
          <w:sz w:val="24"/>
        </w:rPr>
        <w:t>(AUTONOMOUS)</w:t>
      </w:r>
    </w:p>
    <w:p>
      <w:pPr>
        <w:spacing w:after="40" w:before="0" w:line="276" w:lineRule="auto"/>
        <w:jc w:val="center"/>
      </w:pPr>
      <w:r>
        <w:rPr>
          <w:rFonts w:ascii="Times New Roman" w:hAnsi="Times New Roman"/>
          <w:b w:val="0"/>
          <w:i w:val="0"/>
          <w:color w:val="000000"/>
          <w:sz w:val="24"/>
        </w:rPr>
        <w:t>Rasayani-410207</w:t>
      </w:r>
    </w:p>
    <w:p>
      <w:pPr>
        <w:spacing w:after="280" w:before="0" w:line="276" w:lineRule="auto"/>
        <w:jc w:val="center"/>
      </w:pPr>
      <w:r>
        <w:rPr>
          <w:rFonts w:ascii="Times New Roman" w:hAnsi="Times New Roman"/>
          <w:b/>
          <w:i w:val="0"/>
          <w:color w:val="000000"/>
          <w:sz w:val="24"/>
        </w:rPr>
        <w:t>2026-27</w:t>
      </w:r>
    </w:p>
    <w:p>
      <w:pPr>
        <w:spacing w:after="320" w:before="0" w:line="276" w:lineRule="auto"/>
        <w:jc w:val="center"/>
      </w:pPr>
      <w:r>
        <w:rPr>
          <w:rFonts w:ascii="Times New Roman" w:hAnsi="Times New Roman"/>
          <w:b/>
          <w:i w:val="0"/>
          <w:color w:val="000000"/>
          <w:sz w:val="32"/>
        </w:rPr>
        <w:t>Certificate</w:t>
      </w:r>
    </w:p>
    <w:p>
      <w:pPr>
        <w:spacing w:line="384" w:lineRule="auto" w:after="1200"/>
        <w:jc w:val="both"/>
      </w:pPr>
      <w:r>
        <w:rPr>
          <w:rFonts w:ascii="Times New Roman" w:hAnsi="Times New Roman"/>
          <w:b w:val="0"/>
          <w:i w:val="0"/>
          <w:color w:val="000000"/>
          <w:sz w:val="25"/>
        </w:rPr>
        <w:t xml:space="preserve">This is to certify that the Mini Project entitled </w:t>
      </w:r>
      <w:r>
        <w:rPr>
          <w:rFonts w:ascii="Times New Roman" w:hAnsi="Times New Roman"/>
          <w:b/>
          <w:i w:val="0"/>
          <w:color w:val="000000"/>
          <w:sz w:val="25"/>
        </w:rPr>
        <w:t xml:space="preserve">“CredLock: Zero-Knowledge Decentralized Identity (DID) &amp; Selective Attribute Proofs Engine” </w:t>
      </w:r>
      <w:r>
        <w:rPr>
          <w:rFonts w:ascii="Times New Roman" w:hAnsi="Times New Roman"/>
          <w:b w:val="0"/>
          <w:i w:val="0"/>
          <w:color w:val="000000"/>
          <w:sz w:val="25"/>
        </w:rPr>
        <w:t xml:space="preserve">is a bona-fide work of </w:t>
      </w:r>
      <w:r>
        <w:rPr>
          <w:rFonts w:ascii="Times New Roman" w:hAnsi="Times New Roman"/>
          <w:b/>
          <w:i w:val="0"/>
          <w:color w:val="000000"/>
          <w:sz w:val="25"/>
        </w:rPr>
        <w:t xml:space="preserve">Harsh Gurjar, Biswaranjan Giri, Suman Ghotgalkar </w:t>
      </w:r>
      <w:r>
        <w:rPr>
          <w:rFonts w:ascii="Times New Roman" w:hAnsi="Times New Roman"/>
          <w:b w:val="0"/>
          <w:i w:val="0"/>
          <w:color w:val="000000"/>
          <w:sz w:val="25"/>
        </w:rPr>
        <w:t xml:space="preserve">submitted to the University of Mumbai in partial fulfilment of the requirement for the award of the degree of </w:t>
      </w:r>
      <w:r>
        <w:rPr>
          <w:rFonts w:ascii="Times New Roman" w:hAnsi="Times New Roman"/>
          <w:b/>
          <w:i w:val="0"/>
          <w:color w:val="000000"/>
          <w:sz w:val="25"/>
        </w:rPr>
        <w:t xml:space="preserve">“Undergraduate” </w:t>
      </w:r>
      <w:r>
        <w:rPr>
          <w:rFonts w:ascii="Times New Roman" w:hAnsi="Times New Roman"/>
          <w:b w:val="0"/>
          <w:i w:val="0"/>
          <w:color w:val="000000"/>
          <w:sz w:val="25"/>
        </w:rPr>
        <w:t xml:space="preserve">in </w:t>
      </w:r>
      <w:r>
        <w:rPr>
          <w:rFonts w:ascii="Times New Roman" w:hAnsi="Times New Roman"/>
          <w:b/>
          <w:i w:val="0"/>
          <w:color w:val="000000"/>
          <w:sz w:val="25"/>
        </w:rPr>
        <w:t>“Computer Engineering”</w:t>
      </w:r>
      <w:r>
        <w:rPr>
          <w:rFonts w:ascii="Times New Roman" w:hAnsi="Times New Roman"/>
          <w:b w:val="0"/>
          <w:i w:val="0"/>
          <w:color w:val="000000"/>
          <w:sz w:val="25"/>
        </w:rPr>
        <w:t>.</w:t>
      </w:r>
    </w:p>
    <w:tbl>
      <w:tblPr>
        <w:tblW w:type="auto" w:w="0"/>
        <w:jc w:val="center"/>
        <w:tblLook w:firstColumn="1" w:firstRow="1" w:lastColumn="0" w:lastRow="0" w:noHBand="0" w:noVBand="1" w:val="04A0"/>
      </w:tblPr>
      <w:tblGrid>
        <w:gridCol w:w="3120"/>
        <w:gridCol w:w="3120"/>
        <w:gridCol w:w="3120"/>
      </w:tblGrid>
      <w:tr>
        <w:tc>
          <w:tcPr>
            <w:tcW w:type="dxa" w:w="3168"/>
          </w:tcPr>
          <w:p>
            <w:pPr>
              <w:jc w:val="center"/>
            </w:pPr>
            <w:r>
              <w:rPr>
                <w:rFonts w:ascii="Times New Roman" w:hAnsi="Times New Roman"/>
                <w:b/>
                <w:i w:val="0"/>
                <w:color w:val="000000"/>
                <w:sz w:val="24"/>
              </w:rPr>
              <w:t>Mrs. Dipti Patil</w:t>
              <w:br/>
              <w:t>(Supervisor)</w:t>
            </w:r>
          </w:p>
        </w:tc>
        <w:tc>
          <w:tcPr>
            <w:tcW w:type="dxa" w:w="3168"/>
          </w:tcPr>
          <w:p>
            <w:pPr>
              <w:jc w:val="center"/>
            </w:pPr>
            <w:r>
              <w:rPr>
                <w:rFonts w:ascii="Times New Roman" w:hAnsi="Times New Roman"/>
                <w:b/>
                <w:i w:val="0"/>
                <w:color w:val="000000"/>
                <w:sz w:val="24"/>
              </w:rPr>
              <w:t>Dr. Rajashree Gadhave</w:t>
              <w:br/>
              <w:t>(Head of Department)</w:t>
            </w:r>
          </w:p>
        </w:tc>
        <w:tc>
          <w:tcPr>
            <w:tcW w:type="dxa" w:w="3168"/>
          </w:tcPr>
          <w:p>
            <w:pPr>
              <w:jc w:val="center"/>
            </w:pPr>
            <w:r>
              <w:rPr>
                <w:rFonts w:ascii="Times New Roman" w:hAnsi="Times New Roman"/>
                <w:b/>
                <w:i w:val="0"/>
                <w:color w:val="000000"/>
                <w:sz w:val="24"/>
              </w:rPr>
              <w:t>Dr. J. W. Bakal</w:t>
              <w:br/>
              <w:t>(Principal)</w:t>
            </w:r>
          </w:p>
        </w:tc>
      </w:tr>
      <w:tr>
        <w:tc>
          <w:tcPr>
            <w:tcW w:type="dxa" w:w="3168"/>
          </w:tcPr>
          <w:p/>
        </w:tc>
        <w:tc>
          <w:tcPr>
            <w:tcW w:type="dxa" w:w="3168"/>
          </w:tcPr>
          <w:p/>
        </w:tc>
        <w:tc>
          <w:tcPr>
            <w:tcW w:type="dxa" w:w="3168"/>
          </w:tcPr>
          <w:p/>
        </w:tc>
      </w:tr>
    </w:tbl>
    <w:p>
      <w:r>
        <w:br w:type="page"/>
      </w:r>
    </w:p>
    <w:p>
      <w:pPr>
        <w:spacing w:after="400" w:before="200" w:line="276" w:lineRule="auto"/>
        <w:jc w:val="center"/>
      </w:pPr>
      <w:r>
        <w:rPr>
          <w:rFonts w:ascii="Times New Roman" w:hAnsi="Times New Roman"/>
          <w:b/>
          <w:i w:val="0"/>
          <w:color w:val="000000"/>
          <w:sz w:val="32"/>
        </w:rPr>
        <w:t>Mini Project Report Approval</w:t>
      </w:r>
    </w:p>
    <w:p>
      <w:pPr>
        <w:spacing w:line="384" w:lineRule="auto" w:after="800"/>
        <w:jc w:val="both"/>
      </w:pPr>
      <w:r>
        <w:rPr>
          <w:rFonts w:ascii="Times New Roman" w:hAnsi="Times New Roman"/>
          <w:b w:val="0"/>
          <w:i w:val="0"/>
          <w:color w:val="000000"/>
          <w:sz w:val="25"/>
        </w:rPr>
        <w:t xml:space="preserve">This project report entitled </w:t>
      </w:r>
      <w:r>
        <w:rPr>
          <w:rFonts w:ascii="Times New Roman" w:hAnsi="Times New Roman"/>
          <w:b/>
          <w:i w:val="0"/>
          <w:color w:val="000000"/>
          <w:sz w:val="25"/>
        </w:rPr>
        <w:t xml:space="preserve">“CredLock: Zero-Knowledge Decentralized Identity (DID) &amp; Selective Attribute Proofs Engine” </w:t>
      </w:r>
      <w:r>
        <w:rPr>
          <w:rFonts w:ascii="Times New Roman" w:hAnsi="Times New Roman"/>
          <w:b w:val="0"/>
          <w:i w:val="0"/>
          <w:color w:val="000000"/>
          <w:sz w:val="25"/>
        </w:rPr>
        <w:t xml:space="preserve">submitted by </w:t>
      </w:r>
      <w:r>
        <w:rPr>
          <w:rFonts w:ascii="Times New Roman" w:hAnsi="Times New Roman"/>
          <w:b/>
          <w:i w:val="0"/>
          <w:color w:val="000000"/>
          <w:sz w:val="25"/>
        </w:rPr>
        <w:t xml:space="preserve">“Harsh Gurjar, Suman Ghotgalkar, Biswaranjan Giri” </w:t>
      </w:r>
      <w:r>
        <w:rPr>
          <w:rFonts w:ascii="Times New Roman" w:hAnsi="Times New Roman"/>
          <w:b w:val="0"/>
          <w:i w:val="0"/>
          <w:color w:val="000000"/>
          <w:sz w:val="25"/>
        </w:rPr>
        <w:t xml:space="preserve">is approved for the degree of </w:t>
      </w:r>
      <w:r>
        <w:rPr>
          <w:rFonts w:ascii="Times New Roman" w:hAnsi="Times New Roman"/>
          <w:b/>
          <w:i w:val="0"/>
          <w:color w:val="000000"/>
          <w:sz w:val="25"/>
        </w:rPr>
        <w:t>Bachelor of Engineering in Computer Engineering</w:t>
      </w:r>
      <w:r>
        <w:rPr>
          <w:rFonts w:ascii="Times New Roman" w:hAnsi="Times New Roman"/>
          <w:b w:val="0"/>
          <w:i w:val="0"/>
          <w:color w:val="000000"/>
          <w:sz w:val="25"/>
        </w:rPr>
        <w:t>.</w:t>
      </w:r>
    </w:p>
    <w:p>
      <w:pPr>
        <w:spacing w:after="280" w:before="0" w:line="276" w:lineRule="auto"/>
        <w:jc w:val="left"/>
      </w:pPr>
      <w:r>
        <w:rPr>
          <w:rFonts w:ascii="Times New Roman" w:hAnsi="Times New Roman"/>
          <w:b/>
          <w:i w:val="0"/>
          <w:color w:val="000000"/>
          <w:sz w:val="26"/>
        </w:rPr>
        <w:t>Examiners</w:t>
      </w:r>
    </w:p>
    <w:p>
      <w:pPr>
        <w:spacing w:after="400" w:before="0" w:line="276" w:lineRule="auto"/>
        <w:jc w:val="left"/>
      </w:pPr>
      <w:r>
        <w:rPr>
          <w:rFonts w:ascii="Times New Roman" w:hAnsi="Times New Roman"/>
          <w:b w:val="0"/>
          <w:i w:val="0"/>
          <w:color w:val="000000"/>
          <w:sz w:val="24"/>
        </w:rPr>
        <w:t>1. _________________________________</w:t>
      </w:r>
    </w:p>
    <w:p>
      <w:pPr>
        <w:spacing w:after="800" w:before="0" w:line="276" w:lineRule="auto"/>
        <w:jc w:val="left"/>
      </w:pPr>
      <w:r>
        <w:rPr>
          <w:rFonts w:ascii="Times New Roman" w:hAnsi="Times New Roman"/>
          <w:b w:val="0"/>
          <w:i w:val="0"/>
          <w:color w:val="000000"/>
          <w:sz w:val="24"/>
        </w:rPr>
        <w:t>2. _________________________________</w:t>
      </w:r>
    </w:p>
    <w:p>
      <w:pPr>
        <w:spacing w:after="0" w:before="0" w:line="276" w:lineRule="auto"/>
        <w:jc w:val="left"/>
      </w:pPr>
      <w:r>
        <w:rPr>
          <w:rFonts w:ascii="Times New Roman" w:hAnsi="Times New Roman"/>
          <w:b/>
          <w:i w:val="0"/>
          <w:color w:val="000000"/>
          <w:sz w:val="24"/>
        </w:rPr>
        <w:t>Date: ________________</w:t>
        <w:br/>
        <w:t>Place: Rasayani</w:t>
      </w:r>
    </w:p>
    <w:p>
      <w:r>
        <w:br w:type="page"/>
      </w:r>
    </w:p>
    <w:p>
      <w:pPr>
        <w:spacing w:after="360" w:before="200" w:line="276" w:lineRule="auto"/>
        <w:jc w:val="center"/>
      </w:pPr>
      <w:r>
        <w:rPr>
          <w:rFonts w:ascii="Times New Roman" w:hAnsi="Times New Roman"/>
          <w:b/>
          <w:i w:val="0"/>
          <w:color w:val="000000"/>
          <w:sz w:val="32"/>
        </w:rPr>
        <w:t>Declaration</w:t>
      </w:r>
    </w:p>
    <w:p>
      <w:pPr>
        <w:spacing w:after="1000" w:before="0" w:line="384" w:lineRule="auto"/>
        <w:jc w:val="both"/>
      </w:pPr>
      <w:r>
        <w:rPr>
          <w:rFonts w:ascii="Times New Roman" w:hAnsi="Times New Roman"/>
          <w:b w:val="0"/>
          <w:i w:val="0"/>
          <w:color w:val="000000"/>
          <w:sz w:val="24"/>
        </w:rPr>
        <w:t>We declare that this written submission represents our ideas in our own words and where other’s ideas or words have been included. We have adequately cited and referenced the original sources. We also declare that we have adhered to all principles of academic honesty and integrity and have not misrepresented or fabricated or falsified any idea/data/fact/source in our submission. We understand that any violation of the above will result in disciplinary action by the Institute and can also evoke penal action from the sources which have thus not been properly cited or from whom proper permission has not been taken when needed.</w:t>
      </w:r>
    </w:p>
    <w:p>
      <w:pPr>
        <w:spacing w:after="0" w:before="0" w:line="276" w:lineRule="auto"/>
        <w:jc w:val="left"/>
      </w:pPr>
      <w:r>
        <w:rPr>
          <w:rFonts w:ascii="Times New Roman" w:hAnsi="Times New Roman"/>
          <w:b/>
          <w:i w:val="0"/>
          <w:color w:val="000000"/>
          <w:sz w:val="24"/>
        </w:rPr>
        <w:t>Suman Ghotgalkar  _____________________</w:t>
        <w:br/>
        <w:br/>
        <w:t>Biswaranjan Giri     _____________________</w:t>
        <w:br/>
        <w:br/>
        <w:t>Harsh Gurjar          _____________________</w:t>
        <w:br/>
        <w:br/>
        <w:t>Date: ________________</w:t>
      </w:r>
    </w:p>
    <w:p>
      <w:r>
        <w:br w:type="page"/>
      </w:r>
    </w:p>
    <w:p>
      <w:pPr>
        <w:spacing w:after="280" w:before="0" w:line="276" w:lineRule="auto"/>
        <w:jc w:val="center"/>
      </w:pPr>
      <w:r>
        <w:rPr>
          <w:rFonts w:ascii="Times New Roman" w:hAnsi="Times New Roman"/>
          <w:b/>
          <w:i/>
          <w:color w:val="000000"/>
          <w:sz w:val="36"/>
        </w:rPr>
        <w:t>Abstract</w:t>
      </w:r>
    </w:p>
    <w:p>
      <w:pPr>
        <w:spacing w:after="160" w:before="0" w:line="324" w:lineRule="auto"/>
        <w:jc w:val="both"/>
      </w:pPr>
      <w:r>
        <w:rPr>
          <w:rFonts w:ascii="Times New Roman" w:hAnsi="Times New Roman"/>
          <w:b w:val="0"/>
          <w:i w:val="0"/>
          <w:color w:val="000000"/>
          <w:sz w:val="22"/>
        </w:rPr>
        <w:t>CredLock is a privacy-preserving decentralized identity (DID) and zero-knowledge verification framework engineered on Ethereum. In conventional digital authentication protocols, users are routinely compelled to disclose full plaintext documents—such as government Aadhaar cards, passports, or academic transcripts—merely to prove simple threshold predicates (e.g., “Is the citizen over 18?”, “Is the applicant’s CGPA above 8.5?”). This status quo introduces widespread identity theft vulnerabilities, facilitates centralized profiling, and violates modern zero-trust privacy regulations.</w:t>
      </w:r>
    </w:p>
    <w:p>
      <w:pPr>
        <w:spacing w:after="160" w:before="0" w:line="324" w:lineRule="auto"/>
        <w:jc w:val="both"/>
      </w:pPr>
      <w:r>
        <w:rPr>
          <w:rFonts w:ascii="Times New Roman" w:hAnsi="Times New Roman"/>
          <w:b w:val="0"/>
          <w:i w:val="0"/>
          <w:color w:val="000000"/>
          <w:sz w:val="22"/>
        </w:rPr>
        <w:t>CredLock re-architects verifiable credential authentication by combining W3C Decentralized Identifiers with client-side Groth16 zk-SNARKs evaluated over the BN254 elliptic curve. The user’s raw attributes remain strictly confined within client device memory. Using a 16-bit binary range decomposition constraint circuit, the client synthesizes a succinct mathematical proof π = (πA, πB, πC) in under 10 ms. Membership within an authorized user registry is validated via an 8-leaf algebraic Poseidon Merkle State Tree, which slashes arithmetic circuit constraint costs by 98% compared to SHA-256.</w:t>
      </w:r>
    </w:p>
    <w:p>
      <w:pPr>
        <w:spacing w:after="280" w:before="0" w:line="324" w:lineRule="auto"/>
        <w:jc w:val="both"/>
      </w:pPr>
      <w:r>
        <w:rPr>
          <w:rFonts w:ascii="Times New Roman" w:hAnsi="Times New Roman"/>
          <w:b w:val="0"/>
          <w:i w:val="0"/>
          <w:color w:val="000000"/>
          <w:sz w:val="22"/>
        </w:rPr>
        <w:t>On-chain verification executes trustlessly within an Ethereum smart contract utilizing the EVM 0x08 ecPairing precompile, completing verification in 3.12 ms with a deterministic gas expenditure of 215,380 gas. To permanently defend against replay attacks while preserving cross-service privacy, the architecture enforces unforgeable deterministic nullifiers N = Poseidon(sk, scope). CredLock establishes an end-to-end mathematical bridge between sovereign user privacy and immutable distributed ledger consensus.</w:t>
      </w:r>
    </w:p>
    <w:p>
      <w:pPr>
        <w:spacing w:after="400"/>
      </w:pPr>
      <w:r>
        <w:rPr>
          <w:rFonts w:ascii="Times New Roman" w:hAnsi="Times New Roman"/>
          <w:b/>
          <w:i w:val="0"/>
          <w:color w:val="000000"/>
          <w:sz w:val="22"/>
        </w:rPr>
        <w:t xml:space="preserve">Keywords: </w:t>
      </w:r>
      <w:r>
        <w:rPr>
          <w:rFonts w:ascii="Times New Roman" w:hAnsi="Times New Roman"/>
          <w:b w:val="0"/>
          <w:i/>
          <w:color w:val="000000"/>
          <w:sz w:val="22"/>
        </w:rPr>
        <w:t>Blockchain, Zero-Knowledge Proofs, zk-SNARKs, Groth16, Decentralized Identifiers (DID), Poseidon Hash, Merkle Trees, Ethereum, Smart Contracts, Bilinear Pairings, Nullifiers.</w:t>
      </w:r>
    </w:p>
    <w:p>
      <w:pPr>
        <w:spacing w:after="80" w:before="0" w:line="276" w:lineRule="auto"/>
        <w:jc w:val="center"/>
      </w:pPr>
      <w:r>
        <w:rPr>
          <w:rFonts w:ascii="Times New Roman" w:hAnsi="Times New Roman"/>
          <w:b w:val="0"/>
          <w:i/>
          <w:color w:val="000000"/>
          <w:sz w:val="22"/>
        </w:rPr>
        <w:t>i</w:t>
      </w:r>
    </w:p>
    <w:p>
      <w:r>
        <w:br w:type="page"/>
      </w:r>
    </w:p>
    <w:p>
      <w:pPr>
        <w:spacing w:after="280" w:before="0" w:line="276" w:lineRule="auto"/>
        <w:jc w:val="center"/>
      </w:pPr>
      <w:r>
        <w:rPr>
          <w:rFonts w:ascii="Times New Roman" w:hAnsi="Times New Roman"/>
          <w:b/>
          <w:i w:val="0"/>
          <w:color w:val="000000"/>
          <w:sz w:val="36"/>
        </w:rPr>
        <w:t>List of Figures</w:t>
      </w:r>
    </w:p>
    <w:tbl>
      <w:tblPr>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i w:val="0"/>
                <w:color w:val="000000"/>
                <w:sz w:val="22"/>
              </w:rPr>
              <w:t>Figure No.</w:t>
            </w:r>
          </w:p>
        </w:tc>
        <w:tc>
          <w:tcPr>
            <w:tcW w:type="dxa" w:w="3120"/>
          </w:tcPr>
          <w:p>
            <w:r>
              <w:rPr>
                <w:rFonts w:ascii="Times New Roman" w:hAnsi="Times New Roman"/>
                <w:b/>
                <w:i w:val="0"/>
                <w:color w:val="000000"/>
                <w:sz w:val="22"/>
              </w:rPr>
              <w:t>Figure Name</w:t>
            </w:r>
          </w:p>
        </w:tc>
        <w:tc>
          <w:tcPr>
            <w:tcW w:type="dxa" w:w="3120"/>
          </w:tcPr>
          <w:p>
            <w:pPr>
              <w:jc w:val="right"/>
            </w:pPr>
            <w:r>
              <w:rPr>
                <w:rFonts w:ascii="Times New Roman" w:hAnsi="Times New Roman"/>
                <w:b/>
                <w:i w:val="0"/>
                <w:color w:val="000000"/>
                <w:sz w:val="22"/>
              </w:rPr>
              <w:t>Page No.</w:t>
            </w:r>
          </w:p>
        </w:tc>
      </w:tr>
      <w:tr>
        <w:tc>
          <w:tcPr>
            <w:tcW w:type="dxa" w:w="3120"/>
          </w:tcPr>
          <w:p>
            <w:r>
              <w:rPr>
                <w:rFonts w:ascii="Times New Roman" w:hAnsi="Times New Roman"/>
                <w:b w:val="0"/>
                <w:i w:val="0"/>
                <w:color w:val="000000"/>
                <w:sz w:val="22"/>
              </w:rPr>
              <w:t>Figure 4.1.1</w:t>
            </w:r>
          </w:p>
        </w:tc>
        <w:tc>
          <w:tcPr>
            <w:tcW w:type="dxa" w:w="3120"/>
          </w:tcPr>
          <w:p>
            <w:r>
              <w:rPr>
                <w:rFonts w:ascii="Times New Roman" w:hAnsi="Times New Roman"/>
                <w:b w:val="0"/>
                <w:i w:val="0"/>
                <w:color w:val="000000"/>
                <w:sz w:val="22"/>
              </w:rPr>
              <w:t>Proposed System Architecture (4-Station Pipeline)</w:t>
            </w:r>
          </w:p>
        </w:tc>
        <w:tc>
          <w:tcPr>
            <w:tcW w:type="dxa" w:w="3120"/>
          </w:tcPr>
          <w:p>
            <w:pPr>
              <w:jc w:val="right"/>
            </w:pPr>
            <w:r>
              <w:rPr>
                <w:rFonts w:ascii="Times New Roman" w:hAnsi="Times New Roman"/>
                <w:b w:val="0"/>
                <w:i w:val="0"/>
                <w:color w:val="000000"/>
                <w:sz w:val="22"/>
              </w:rPr>
              <w:t>8</w:t>
            </w:r>
          </w:p>
        </w:tc>
      </w:tr>
      <w:tr>
        <w:tc>
          <w:tcPr>
            <w:tcW w:type="dxa" w:w="3120"/>
          </w:tcPr>
          <w:p>
            <w:r>
              <w:rPr>
                <w:rFonts w:ascii="Times New Roman" w:hAnsi="Times New Roman"/>
                <w:b w:val="0"/>
                <w:i w:val="0"/>
                <w:color w:val="000000"/>
                <w:sz w:val="22"/>
              </w:rPr>
              <w:t>Figure 5.1.1</w:t>
            </w:r>
          </w:p>
        </w:tc>
        <w:tc>
          <w:tcPr>
            <w:tcW w:type="dxa" w:w="3120"/>
          </w:tcPr>
          <w:p>
            <w:r>
              <w:rPr>
                <w:rFonts w:ascii="Times New Roman" w:hAnsi="Times New Roman"/>
                <w:b w:val="0"/>
                <w:i w:val="0"/>
                <w:color w:val="000000"/>
                <w:sz w:val="22"/>
              </w:rPr>
              <w:t>Identity Enclave Selection &amp; Private Attribute Shielding</w:t>
            </w:r>
          </w:p>
        </w:tc>
        <w:tc>
          <w:tcPr>
            <w:tcW w:type="dxa" w:w="3120"/>
          </w:tcPr>
          <w:p>
            <w:pPr>
              <w:jc w:val="right"/>
            </w:pPr>
            <w:r>
              <w:rPr>
                <w:rFonts w:ascii="Times New Roman" w:hAnsi="Times New Roman"/>
                <w:b w:val="0"/>
                <w:i w:val="0"/>
                <w:color w:val="000000"/>
                <w:sz w:val="22"/>
              </w:rPr>
              <w:t>11</w:t>
            </w:r>
          </w:p>
        </w:tc>
      </w:tr>
      <w:tr>
        <w:tc>
          <w:tcPr>
            <w:tcW w:type="dxa" w:w="3120"/>
          </w:tcPr>
          <w:p>
            <w:r>
              <w:rPr>
                <w:rFonts w:ascii="Times New Roman" w:hAnsi="Times New Roman"/>
                <w:b w:val="0"/>
                <w:i w:val="0"/>
                <w:color w:val="000000"/>
                <w:sz w:val="22"/>
              </w:rPr>
              <w:t>Figure 5.1.2</w:t>
            </w:r>
          </w:p>
        </w:tc>
        <w:tc>
          <w:tcPr>
            <w:tcW w:type="dxa" w:w="3120"/>
          </w:tcPr>
          <w:p>
            <w:r>
              <w:rPr>
                <w:rFonts w:ascii="Times New Roman" w:hAnsi="Times New Roman"/>
                <w:b w:val="0"/>
                <w:i w:val="0"/>
                <w:color w:val="000000"/>
                <w:sz w:val="22"/>
              </w:rPr>
              <w:t>Policy Gate Specification &amp; Range Decomposition</w:t>
            </w:r>
          </w:p>
        </w:tc>
        <w:tc>
          <w:tcPr>
            <w:tcW w:type="dxa" w:w="3120"/>
          </w:tcPr>
          <w:p>
            <w:pPr>
              <w:jc w:val="right"/>
            </w:pPr>
            <w:r>
              <w:rPr>
                <w:rFonts w:ascii="Times New Roman" w:hAnsi="Times New Roman"/>
                <w:b w:val="0"/>
                <w:i w:val="0"/>
                <w:color w:val="000000"/>
                <w:sz w:val="22"/>
              </w:rPr>
              <w:t>12</w:t>
            </w:r>
          </w:p>
        </w:tc>
      </w:tr>
      <w:tr>
        <w:tc>
          <w:tcPr>
            <w:tcW w:type="dxa" w:w="3120"/>
          </w:tcPr>
          <w:p>
            <w:r>
              <w:rPr>
                <w:rFonts w:ascii="Times New Roman" w:hAnsi="Times New Roman"/>
                <w:b w:val="0"/>
                <w:i w:val="0"/>
                <w:color w:val="000000"/>
                <w:sz w:val="22"/>
              </w:rPr>
              <w:t>Figure 5.1.3</w:t>
            </w:r>
          </w:p>
        </w:tc>
        <w:tc>
          <w:tcPr>
            <w:tcW w:type="dxa" w:w="3120"/>
          </w:tcPr>
          <w:p>
            <w:r>
              <w:rPr>
                <w:rFonts w:ascii="Times New Roman" w:hAnsi="Times New Roman"/>
                <w:b w:val="0"/>
                <w:i w:val="0"/>
                <w:color w:val="000000"/>
                <w:sz w:val="22"/>
              </w:rPr>
              <w:t>8-Leaf Poseidon Merkle State Membership Proof</w:t>
            </w:r>
          </w:p>
        </w:tc>
        <w:tc>
          <w:tcPr>
            <w:tcW w:type="dxa" w:w="3120"/>
          </w:tcPr>
          <w:p>
            <w:pPr>
              <w:jc w:val="right"/>
            </w:pPr>
            <w:r>
              <w:rPr>
                <w:rFonts w:ascii="Times New Roman" w:hAnsi="Times New Roman"/>
                <w:b w:val="0"/>
                <w:i w:val="0"/>
                <w:color w:val="000000"/>
                <w:sz w:val="22"/>
              </w:rPr>
              <w:t>13</w:t>
            </w:r>
          </w:p>
        </w:tc>
      </w:tr>
      <w:tr>
        <w:tc>
          <w:tcPr>
            <w:tcW w:type="dxa" w:w="3120"/>
          </w:tcPr>
          <w:p>
            <w:r>
              <w:rPr>
                <w:rFonts w:ascii="Times New Roman" w:hAnsi="Times New Roman"/>
                <w:b w:val="0"/>
                <w:i w:val="0"/>
                <w:color w:val="000000"/>
                <w:sz w:val="22"/>
              </w:rPr>
              <w:t>Figure 5.1.4</w:t>
            </w:r>
          </w:p>
        </w:tc>
        <w:tc>
          <w:tcPr>
            <w:tcW w:type="dxa" w:w="3120"/>
          </w:tcPr>
          <w:p>
            <w:r>
              <w:rPr>
                <w:rFonts w:ascii="Times New Roman" w:hAnsi="Times New Roman"/>
                <w:b w:val="0"/>
                <w:i w:val="0"/>
                <w:color w:val="000000"/>
                <w:sz w:val="22"/>
              </w:rPr>
              <w:t>On-Chain Verification &amp; Deterministic Nullifier Replay Defense</w:t>
            </w:r>
          </w:p>
        </w:tc>
        <w:tc>
          <w:tcPr>
            <w:tcW w:type="dxa" w:w="3120"/>
          </w:tcPr>
          <w:p>
            <w:pPr>
              <w:jc w:val="right"/>
            </w:pPr>
            <w:r>
              <w:rPr>
                <w:rFonts w:ascii="Times New Roman" w:hAnsi="Times New Roman"/>
                <w:b w:val="0"/>
                <w:i w:val="0"/>
                <w:color w:val="000000"/>
                <w:sz w:val="22"/>
              </w:rPr>
              <w:t>14</w:t>
            </w:r>
          </w:p>
        </w:tc>
      </w:tr>
    </w:tbl>
    <w:p>
      <w:pPr>
        <w:spacing w:after="80" w:before="800" w:line="276" w:lineRule="auto"/>
        <w:jc w:val="center"/>
      </w:pPr>
      <w:r>
        <w:rPr>
          <w:rFonts w:ascii="Times New Roman" w:hAnsi="Times New Roman"/>
          <w:b w:val="0"/>
          <w:i/>
          <w:color w:val="000000"/>
          <w:sz w:val="22"/>
        </w:rPr>
        <w:t>ii</w:t>
      </w:r>
    </w:p>
    <w:p>
      <w:r>
        <w:br w:type="page"/>
      </w:r>
    </w:p>
    <w:p>
      <w:pPr>
        <w:spacing w:after="240" w:before="0" w:line="276" w:lineRule="auto"/>
        <w:jc w:val="center"/>
      </w:pPr>
      <w:r>
        <w:rPr>
          <w:rFonts w:ascii="Times New Roman" w:hAnsi="Times New Roman"/>
          <w:b/>
          <w:i w:val="0"/>
          <w:color w:val="000000"/>
          <w:sz w:val="32"/>
        </w:rPr>
        <w:t>TABLE OF CONTENTS</w:t>
      </w:r>
    </w:p>
    <w:tbl>
      <w:tblPr>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i w:val="0"/>
                <w:color w:val="000000"/>
                <w:sz w:val="22"/>
              </w:rPr>
              <w:t>Sr. No.</w:t>
            </w:r>
          </w:p>
        </w:tc>
        <w:tc>
          <w:tcPr>
            <w:tcW w:type="dxa" w:w="3120"/>
          </w:tcPr>
          <w:p>
            <w:r>
              <w:rPr>
                <w:rFonts w:ascii="Times New Roman" w:hAnsi="Times New Roman"/>
                <w:b/>
                <w:i w:val="0"/>
                <w:color w:val="000000"/>
                <w:sz w:val="22"/>
              </w:rPr>
              <w:t>Content</w:t>
            </w:r>
          </w:p>
        </w:tc>
        <w:tc>
          <w:tcPr>
            <w:tcW w:type="dxa" w:w="3120"/>
          </w:tcPr>
          <w:p>
            <w:pPr>
              <w:jc w:val="right"/>
            </w:pPr>
            <w:r>
              <w:rPr>
                <w:rFonts w:ascii="Times New Roman" w:hAnsi="Times New Roman"/>
                <w:b/>
                <w:i w:val="0"/>
                <w:color w:val="000000"/>
                <w:sz w:val="22"/>
              </w:rPr>
              <w:t>Page No.</w:t>
            </w:r>
          </w:p>
        </w:tc>
      </w:tr>
      <w:tr>
        <w:tc>
          <w:tcPr>
            <w:tcW w:type="dxa" w:w="3120"/>
          </w:tcPr>
          <w:p>
            <w:r>
              <w:rPr>
                <w:rFonts w:ascii="Times New Roman" w:hAnsi="Times New Roman"/>
                <w:b/>
                <w:i w:val="0"/>
                <w:color w:val="000000"/>
                <w:sz w:val="22"/>
              </w:rPr>
            </w:r>
          </w:p>
        </w:tc>
        <w:tc>
          <w:tcPr>
            <w:tcW w:type="dxa" w:w="3120"/>
          </w:tcPr>
          <w:p>
            <w:r>
              <w:rPr>
                <w:rFonts w:ascii="Times New Roman" w:hAnsi="Times New Roman"/>
                <w:b/>
                <w:i w:val="0"/>
                <w:color w:val="000000"/>
                <w:sz w:val="22"/>
              </w:rPr>
              <w:t>Abstract</w:t>
            </w:r>
          </w:p>
        </w:tc>
        <w:tc>
          <w:tcPr>
            <w:tcW w:type="dxa" w:w="3120"/>
          </w:tcPr>
          <w:p>
            <w:pPr>
              <w:jc w:val="right"/>
            </w:pPr>
            <w:r>
              <w:rPr>
                <w:rFonts w:ascii="Times New Roman" w:hAnsi="Times New Roman"/>
                <w:b/>
                <w:i w:val="0"/>
                <w:color w:val="000000"/>
                <w:sz w:val="22"/>
              </w:rPr>
              <w:t>i</w:t>
            </w:r>
          </w:p>
        </w:tc>
      </w:tr>
      <w:tr>
        <w:tc>
          <w:tcPr>
            <w:tcW w:type="dxa" w:w="3120"/>
          </w:tcPr>
          <w:p>
            <w:r>
              <w:rPr>
                <w:rFonts w:ascii="Times New Roman" w:hAnsi="Times New Roman"/>
                <w:b/>
                <w:i w:val="0"/>
                <w:color w:val="000000"/>
                <w:sz w:val="22"/>
              </w:rPr>
            </w:r>
          </w:p>
        </w:tc>
        <w:tc>
          <w:tcPr>
            <w:tcW w:type="dxa" w:w="3120"/>
          </w:tcPr>
          <w:p>
            <w:r>
              <w:rPr>
                <w:rFonts w:ascii="Times New Roman" w:hAnsi="Times New Roman"/>
                <w:b/>
                <w:i w:val="0"/>
                <w:color w:val="000000"/>
                <w:sz w:val="22"/>
              </w:rPr>
              <w:t>List of Figures</w:t>
            </w:r>
          </w:p>
        </w:tc>
        <w:tc>
          <w:tcPr>
            <w:tcW w:type="dxa" w:w="3120"/>
          </w:tcPr>
          <w:p>
            <w:pPr>
              <w:jc w:val="right"/>
            </w:pPr>
            <w:r>
              <w:rPr>
                <w:rFonts w:ascii="Times New Roman" w:hAnsi="Times New Roman"/>
                <w:b/>
                <w:i w:val="0"/>
                <w:color w:val="000000"/>
                <w:sz w:val="22"/>
              </w:rPr>
              <w:t>ii</w:t>
            </w:r>
          </w:p>
        </w:tc>
      </w:tr>
      <w:tr>
        <w:tc>
          <w:tcPr>
            <w:tcW w:type="dxa" w:w="3120"/>
          </w:tcPr>
          <w:p>
            <w:r>
              <w:rPr>
                <w:rFonts w:ascii="Times New Roman" w:hAnsi="Times New Roman"/>
                <w:b/>
                <w:i w:val="0"/>
                <w:color w:val="000000"/>
                <w:sz w:val="22"/>
              </w:rPr>
              <w:t>1.</w:t>
            </w:r>
          </w:p>
        </w:tc>
        <w:tc>
          <w:tcPr>
            <w:tcW w:type="dxa" w:w="3120"/>
          </w:tcPr>
          <w:p>
            <w:r>
              <w:rPr>
                <w:rFonts w:ascii="Times New Roman" w:hAnsi="Times New Roman"/>
                <w:b/>
                <w:i w:val="0"/>
                <w:color w:val="000000"/>
                <w:sz w:val="22"/>
              </w:rPr>
              <w:t>Introduction</w:t>
            </w:r>
          </w:p>
        </w:tc>
        <w:tc>
          <w:tcPr>
            <w:tcW w:type="dxa" w:w="3120"/>
          </w:tcPr>
          <w:p>
            <w:pPr>
              <w:jc w:val="right"/>
            </w:pPr>
            <w:r>
              <w:rPr>
                <w:rFonts w:ascii="Times New Roman" w:hAnsi="Times New Roman"/>
                <w:b/>
                <w:i w:val="0"/>
                <w:color w:val="000000"/>
                <w:sz w:val="22"/>
              </w:rPr>
              <w:t>1</w:t>
            </w:r>
          </w:p>
        </w:tc>
      </w:tr>
      <w:tr>
        <w:tc>
          <w:tcPr>
            <w:tcW w:type="dxa" w:w="3120"/>
          </w:tcPr>
          <w:p>
            <w:r>
              <w:rPr>
                <w:rFonts w:ascii="Times New Roman" w:hAnsi="Times New Roman"/>
                <w:b w:val="0"/>
                <w:i w:val="0"/>
                <w:color w:val="000000"/>
                <w:sz w:val="22"/>
              </w:rPr>
              <w:t>1.1</w:t>
            </w:r>
          </w:p>
        </w:tc>
        <w:tc>
          <w:tcPr>
            <w:tcW w:type="dxa" w:w="3120"/>
          </w:tcPr>
          <w:p>
            <w:r>
              <w:rPr>
                <w:rFonts w:ascii="Times New Roman" w:hAnsi="Times New Roman"/>
                <w:b w:val="0"/>
                <w:i w:val="0"/>
                <w:color w:val="000000"/>
                <w:sz w:val="22"/>
              </w:rPr>
              <w:t>Background</w:t>
            </w:r>
          </w:p>
        </w:tc>
        <w:tc>
          <w:tcPr>
            <w:tcW w:type="dxa" w:w="3120"/>
          </w:tcPr>
          <w:p>
            <w:pPr>
              <w:jc w:val="right"/>
            </w:pPr>
            <w:r>
              <w:rPr>
                <w:rFonts w:ascii="Times New Roman" w:hAnsi="Times New Roman"/>
                <w:b w:val="0"/>
                <w:i w:val="0"/>
                <w:color w:val="000000"/>
                <w:sz w:val="22"/>
              </w:rPr>
              <w:t>2</w:t>
            </w:r>
          </w:p>
        </w:tc>
      </w:tr>
      <w:tr>
        <w:tc>
          <w:tcPr>
            <w:tcW w:type="dxa" w:w="3120"/>
          </w:tcPr>
          <w:p>
            <w:r>
              <w:rPr>
                <w:rFonts w:ascii="Times New Roman" w:hAnsi="Times New Roman"/>
                <w:b w:val="0"/>
                <w:i w:val="0"/>
                <w:color w:val="000000"/>
                <w:sz w:val="22"/>
              </w:rPr>
              <w:t>1.2</w:t>
            </w:r>
          </w:p>
        </w:tc>
        <w:tc>
          <w:tcPr>
            <w:tcW w:type="dxa" w:w="3120"/>
          </w:tcPr>
          <w:p>
            <w:r>
              <w:rPr>
                <w:rFonts w:ascii="Times New Roman" w:hAnsi="Times New Roman"/>
                <w:b w:val="0"/>
                <w:i w:val="0"/>
                <w:color w:val="000000"/>
                <w:sz w:val="22"/>
              </w:rPr>
              <w:t>Motivation</w:t>
            </w:r>
          </w:p>
        </w:tc>
        <w:tc>
          <w:tcPr>
            <w:tcW w:type="dxa" w:w="3120"/>
          </w:tcPr>
          <w:p>
            <w:pPr>
              <w:jc w:val="right"/>
            </w:pPr>
            <w:r>
              <w:rPr>
                <w:rFonts w:ascii="Times New Roman" w:hAnsi="Times New Roman"/>
                <w:b w:val="0"/>
                <w:i w:val="0"/>
                <w:color w:val="000000"/>
                <w:sz w:val="22"/>
              </w:rPr>
              <w:t>2</w:t>
            </w:r>
          </w:p>
        </w:tc>
      </w:tr>
      <w:tr>
        <w:tc>
          <w:tcPr>
            <w:tcW w:type="dxa" w:w="3120"/>
          </w:tcPr>
          <w:p>
            <w:r>
              <w:rPr>
                <w:rFonts w:ascii="Times New Roman" w:hAnsi="Times New Roman"/>
                <w:b/>
                <w:i w:val="0"/>
                <w:color w:val="000000"/>
                <w:sz w:val="22"/>
              </w:rPr>
              <w:t>2.</w:t>
            </w:r>
          </w:p>
        </w:tc>
        <w:tc>
          <w:tcPr>
            <w:tcW w:type="dxa" w:w="3120"/>
          </w:tcPr>
          <w:p>
            <w:r>
              <w:rPr>
                <w:rFonts w:ascii="Times New Roman" w:hAnsi="Times New Roman"/>
                <w:b/>
                <w:i w:val="0"/>
                <w:color w:val="000000"/>
                <w:sz w:val="22"/>
              </w:rPr>
              <w:t>Literature Survey</w:t>
            </w:r>
          </w:p>
        </w:tc>
        <w:tc>
          <w:tcPr>
            <w:tcW w:type="dxa" w:w="3120"/>
          </w:tcPr>
          <w:p>
            <w:pPr>
              <w:jc w:val="right"/>
            </w:pPr>
            <w:r>
              <w:rPr>
                <w:rFonts w:ascii="Times New Roman" w:hAnsi="Times New Roman"/>
                <w:b/>
                <w:i w:val="0"/>
                <w:color w:val="000000"/>
                <w:sz w:val="22"/>
              </w:rPr>
              <w:t>3</w:t>
            </w:r>
          </w:p>
        </w:tc>
      </w:tr>
      <w:tr>
        <w:tc>
          <w:tcPr>
            <w:tcW w:type="dxa" w:w="3120"/>
          </w:tcPr>
          <w:p>
            <w:r>
              <w:rPr>
                <w:rFonts w:ascii="Times New Roman" w:hAnsi="Times New Roman"/>
                <w:b w:val="0"/>
                <w:i w:val="0"/>
                <w:color w:val="000000"/>
                <w:sz w:val="22"/>
              </w:rPr>
              <w:t>2.1</w:t>
            </w:r>
          </w:p>
        </w:tc>
        <w:tc>
          <w:tcPr>
            <w:tcW w:type="dxa" w:w="3120"/>
          </w:tcPr>
          <w:p>
            <w:r>
              <w:rPr>
                <w:rFonts w:ascii="Times New Roman" w:hAnsi="Times New Roman"/>
                <w:b w:val="0"/>
                <w:i w:val="0"/>
                <w:color w:val="000000"/>
                <w:sz w:val="22"/>
              </w:rPr>
              <w:t>Basic Terminologies</w:t>
            </w:r>
          </w:p>
        </w:tc>
        <w:tc>
          <w:tcPr>
            <w:tcW w:type="dxa" w:w="3120"/>
          </w:tcPr>
          <w:p>
            <w:pPr>
              <w:jc w:val="right"/>
            </w:pPr>
            <w:r>
              <w:rPr>
                <w:rFonts w:ascii="Times New Roman" w:hAnsi="Times New Roman"/>
                <w:b w:val="0"/>
                <w:i w:val="0"/>
                <w:color w:val="000000"/>
                <w:sz w:val="22"/>
              </w:rPr>
              <w:t>4</w:t>
            </w:r>
          </w:p>
        </w:tc>
      </w:tr>
      <w:tr>
        <w:tc>
          <w:tcPr>
            <w:tcW w:type="dxa" w:w="3120"/>
          </w:tcPr>
          <w:p>
            <w:r>
              <w:rPr>
                <w:rFonts w:ascii="Times New Roman" w:hAnsi="Times New Roman"/>
                <w:b w:val="0"/>
                <w:i w:val="0"/>
                <w:color w:val="000000"/>
                <w:sz w:val="22"/>
              </w:rPr>
              <w:t>2.2</w:t>
            </w:r>
          </w:p>
        </w:tc>
        <w:tc>
          <w:tcPr>
            <w:tcW w:type="dxa" w:w="3120"/>
          </w:tcPr>
          <w:p>
            <w:r>
              <w:rPr>
                <w:rFonts w:ascii="Times New Roman" w:hAnsi="Times New Roman"/>
                <w:b w:val="0"/>
                <w:i w:val="0"/>
                <w:color w:val="000000"/>
                <w:sz w:val="22"/>
              </w:rPr>
              <w:t>Existing System</w:t>
            </w:r>
          </w:p>
        </w:tc>
        <w:tc>
          <w:tcPr>
            <w:tcW w:type="dxa" w:w="3120"/>
          </w:tcPr>
          <w:p>
            <w:pPr>
              <w:jc w:val="right"/>
            </w:pPr>
            <w:r>
              <w:rPr>
                <w:rFonts w:ascii="Times New Roman" w:hAnsi="Times New Roman"/>
                <w:b w:val="0"/>
                <w:i w:val="0"/>
                <w:color w:val="000000"/>
                <w:sz w:val="22"/>
              </w:rPr>
              <w:t>4</w:t>
            </w:r>
          </w:p>
        </w:tc>
      </w:tr>
      <w:tr>
        <w:tc>
          <w:tcPr>
            <w:tcW w:type="dxa" w:w="3120"/>
          </w:tcPr>
          <w:p>
            <w:r>
              <w:rPr>
                <w:rFonts w:ascii="Times New Roman" w:hAnsi="Times New Roman"/>
                <w:b w:val="0"/>
                <w:i w:val="0"/>
                <w:color w:val="000000"/>
                <w:sz w:val="22"/>
              </w:rPr>
              <w:t>2.3</w:t>
            </w:r>
          </w:p>
        </w:tc>
        <w:tc>
          <w:tcPr>
            <w:tcW w:type="dxa" w:w="3120"/>
          </w:tcPr>
          <w:p>
            <w:r>
              <w:rPr>
                <w:rFonts w:ascii="Times New Roman" w:hAnsi="Times New Roman"/>
                <w:b w:val="0"/>
                <w:i w:val="0"/>
                <w:color w:val="000000"/>
                <w:sz w:val="22"/>
              </w:rPr>
              <w:t>Problem Statement</w:t>
            </w:r>
          </w:p>
        </w:tc>
        <w:tc>
          <w:tcPr>
            <w:tcW w:type="dxa" w:w="3120"/>
          </w:tcPr>
          <w:p>
            <w:pPr>
              <w:jc w:val="right"/>
            </w:pPr>
            <w:r>
              <w:rPr>
                <w:rFonts w:ascii="Times New Roman" w:hAnsi="Times New Roman"/>
                <w:b w:val="0"/>
                <w:i w:val="0"/>
                <w:color w:val="000000"/>
                <w:sz w:val="22"/>
              </w:rPr>
              <w:t>4</w:t>
            </w:r>
          </w:p>
        </w:tc>
      </w:tr>
      <w:tr>
        <w:tc>
          <w:tcPr>
            <w:tcW w:type="dxa" w:w="3120"/>
          </w:tcPr>
          <w:p>
            <w:r>
              <w:rPr>
                <w:rFonts w:ascii="Times New Roman" w:hAnsi="Times New Roman"/>
                <w:b/>
                <w:i w:val="0"/>
                <w:color w:val="000000"/>
                <w:sz w:val="22"/>
              </w:rPr>
              <w:t>3.</w:t>
            </w:r>
          </w:p>
        </w:tc>
        <w:tc>
          <w:tcPr>
            <w:tcW w:type="dxa" w:w="3120"/>
          </w:tcPr>
          <w:p>
            <w:r>
              <w:rPr>
                <w:rFonts w:ascii="Times New Roman" w:hAnsi="Times New Roman"/>
                <w:b/>
                <w:i w:val="0"/>
                <w:color w:val="000000"/>
                <w:sz w:val="22"/>
              </w:rPr>
              <w:t>Requirement Gathering</w:t>
            </w:r>
          </w:p>
        </w:tc>
        <w:tc>
          <w:tcPr>
            <w:tcW w:type="dxa" w:w="3120"/>
          </w:tcPr>
          <w:p>
            <w:pPr>
              <w:jc w:val="right"/>
            </w:pPr>
            <w:r>
              <w:rPr>
                <w:rFonts w:ascii="Times New Roman" w:hAnsi="Times New Roman"/>
                <w:b/>
                <w:i w:val="0"/>
                <w:color w:val="000000"/>
                <w:sz w:val="22"/>
              </w:rPr>
              <w:t>5</w:t>
            </w:r>
          </w:p>
        </w:tc>
      </w:tr>
      <w:tr>
        <w:tc>
          <w:tcPr>
            <w:tcW w:type="dxa" w:w="3120"/>
          </w:tcPr>
          <w:p>
            <w:r>
              <w:rPr>
                <w:rFonts w:ascii="Times New Roman" w:hAnsi="Times New Roman"/>
                <w:b w:val="0"/>
                <w:i w:val="0"/>
                <w:color w:val="000000"/>
                <w:sz w:val="22"/>
              </w:rPr>
              <w:t>3.1</w:t>
            </w:r>
          </w:p>
        </w:tc>
        <w:tc>
          <w:tcPr>
            <w:tcW w:type="dxa" w:w="3120"/>
          </w:tcPr>
          <w:p>
            <w:r>
              <w:rPr>
                <w:rFonts w:ascii="Times New Roman" w:hAnsi="Times New Roman"/>
                <w:b w:val="0"/>
                <w:i w:val="0"/>
                <w:color w:val="000000"/>
                <w:sz w:val="22"/>
              </w:rPr>
              <w:t>Software and Hardware Requirements</w:t>
            </w:r>
          </w:p>
        </w:tc>
        <w:tc>
          <w:tcPr>
            <w:tcW w:type="dxa" w:w="3120"/>
          </w:tcPr>
          <w:p>
            <w:pPr>
              <w:jc w:val="right"/>
            </w:pPr>
            <w:r>
              <w:rPr>
                <w:rFonts w:ascii="Times New Roman" w:hAnsi="Times New Roman"/>
                <w:b w:val="0"/>
                <w:i w:val="0"/>
                <w:color w:val="000000"/>
                <w:sz w:val="22"/>
              </w:rPr>
              <w:t>6</w:t>
            </w:r>
          </w:p>
        </w:tc>
      </w:tr>
      <w:tr>
        <w:tc>
          <w:tcPr>
            <w:tcW w:type="dxa" w:w="3120"/>
          </w:tcPr>
          <w:p>
            <w:r>
              <w:rPr>
                <w:rFonts w:ascii="Times New Roman" w:hAnsi="Times New Roman"/>
                <w:b/>
                <w:i w:val="0"/>
                <w:color w:val="000000"/>
                <w:sz w:val="22"/>
              </w:rPr>
              <w:t>4.</w:t>
            </w:r>
          </w:p>
        </w:tc>
        <w:tc>
          <w:tcPr>
            <w:tcW w:type="dxa" w:w="3120"/>
          </w:tcPr>
          <w:p>
            <w:r>
              <w:rPr>
                <w:rFonts w:ascii="Times New Roman" w:hAnsi="Times New Roman"/>
                <w:b/>
                <w:i w:val="0"/>
                <w:color w:val="000000"/>
                <w:sz w:val="22"/>
              </w:rPr>
              <w:t>Plan of Project</w:t>
            </w:r>
          </w:p>
        </w:tc>
        <w:tc>
          <w:tcPr>
            <w:tcW w:type="dxa" w:w="3120"/>
          </w:tcPr>
          <w:p>
            <w:pPr>
              <w:jc w:val="right"/>
            </w:pPr>
            <w:r>
              <w:rPr>
                <w:rFonts w:ascii="Times New Roman" w:hAnsi="Times New Roman"/>
                <w:b/>
                <w:i w:val="0"/>
                <w:color w:val="000000"/>
                <w:sz w:val="22"/>
              </w:rPr>
              <w:t>7</w:t>
            </w:r>
          </w:p>
        </w:tc>
      </w:tr>
      <w:tr>
        <w:tc>
          <w:tcPr>
            <w:tcW w:type="dxa" w:w="3120"/>
          </w:tcPr>
          <w:p>
            <w:r>
              <w:rPr>
                <w:rFonts w:ascii="Times New Roman" w:hAnsi="Times New Roman"/>
                <w:b w:val="0"/>
                <w:i w:val="0"/>
                <w:color w:val="000000"/>
                <w:sz w:val="22"/>
              </w:rPr>
              <w:t>4.1</w:t>
            </w:r>
          </w:p>
        </w:tc>
        <w:tc>
          <w:tcPr>
            <w:tcW w:type="dxa" w:w="3120"/>
          </w:tcPr>
          <w:p>
            <w:r>
              <w:rPr>
                <w:rFonts w:ascii="Times New Roman" w:hAnsi="Times New Roman"/>
                <w:b w:val="0"/>
                <w:i w:val="0"/>
                <w:color w:val="000000"/>
                <w:sz w:val="22"/>
              </w:rPr>
              <w:t>Proposed System Architecture</w:t>
            </w:r>
          </w:p>
        </w:tc>
        <w:tc>
          <w:tcPr>
            <w:tcW w:type="dxa" w:w="3120"/>
          </w:tcPr>
          <w:p>
            <w:pPr>
              <w:jc w:val="right"/>
            </w:pPr>
            <w:r>
              <w:rPr>
                <w:rFonts w:ascii="Times New Roman" w:hAnsi="Times New Roman"/>
                <w:b w:val="0"/>
                <w:i w:val="0"/>
                <w:color w:val="000000"/>
                <w:sz w:val="22"/>
              </w:rPr>
              <w:t>8</w:t>
            </w:r>
          </w:p>
        </w:tc>
      </w:tr>
      <w:tr>
        <w:tc>
          <w:tcPr>
            <w:tcW w:type="dxa" w:w="3120"/>
          </w:tcPr>
          <w:p>
            <w:r>
              <w:rPr>
                <w:rFonts w:ascii="Times New Roman" w:hAnsi="Times New Roman"/>
                <w:b w:val="0"/>
                <w:i w:val="0"/>
                <w:color w:val="000000"/>
                <w:sz w:val="22"/>
              </w:rPr>
              <w:t>4.2</w:t>
            </w:r>
          </w:p>
        </w:tc>
        <w:tc>
          <w:tcPr>
            <w:tcW w:type="dxa" w:w="3120"/>
          </w:tcPr>
          <w:p>
            <w:r>
              <w:rPr>
                <w:rFonts w:ascii="Times New Roman" w:hAnsi="Times New Roman"/>
                <w:b w:val="0"/>
                <w:i w:val="0"/>
                <w:color w:val="000000"/>
                <w:sz w:val="22"/>
              </w:rPr>
              <w:t>Methodology</w:t>
            </w:r>
          </w:p>
        </w:tc>
        <w:tc>
          <w:tcPr>
            <w:tcW w:type="dxa" w:w="3120"/>
          </w:tcPr>
          <w:p>
            <w:pPr>
              <w:jc w:val="right"/>
            </w:pPr>
            <w:r>
              <w:rPr>
                <w:rFonts w:ascii="Times New Roman" w:hAnsi="Times New Roman"/>
                <w:b w:val="0"/>
                <w:i w:val="0"/>
                <w:color w:val="000000"/>
                <w:sz w:val="22"/>
              </w:rPr>
              <w:t>9</w:t>
            </w:r>
          </w:p>
        </w:tc>
      </w:tr>
      <w:tr>
        <w:tc>
          <w:tcPr>
            <w:tcW w:type="dxa" w:w="3120"/>
          </w:tcPr>
          <w:p>
            <w:r>
              <w:rPr>
                <w:rFonts w:ascii="Times New Roman" w:hAnsi="Times New Roman"/>
                <w:b/>
                <w:i w:val="0"/>
                <w:color w:val="000000"/>
                <w:sz w:val="22"/>
              </w:rPr>
              <w:t>5.</w:t>
            </w:r>
          </w:p>
        </w:tc>
        <w:tc>
          <w:tcPr>
            <w:tcW w:type="dxa" w:w="3120"/>
          </w:tcPr>
          <w:p>
            <w:r>
              <w:rPr>
                <w:rFonts w:ascii="Times New Roman" w:hAnsi="Times New Roman"/>
                <w:b/>
                <w:i w:val="0"/>
                <w:color w:val="000000"/>
                <w:sz w:val="22"/>
              </w:rPr>
              <w:t>Result Analysis</w:t>
            </w:r>
          </w:p>
        </w:tc>
        <w:tc>
          <w:tcPr>
            <w:tcW w:type="dxa" w:w="3120"/>
          </w:tcPr>
          <w:p>
            <w:pPr>
              <w:jc w:val="right"/>
            </w:pPr>
            <w:r>
              <w:rPr>
                <w:rFonts w:ascii="Times New Roman" w:hAnsi="Times New Roman"/>
                <w:b/>
                <w:i w:val="0"/>
                <w:color w:val="000000"/>
                <w:sz w:val="22"/>
              </w:rPr>
              <w:t>10</w:t>
            </w:r>
          </w:p>
        </w:tc>
      </w:tr>
      <w:tr>
        <w:tc>
          <w:tcPr>
            <w:tcW w:type="dxa" w:w="3120"/>
          </w:tcPr>
          <w:p>
            <w:r>
              <w:rPr>
                <w:rFonts w:ascii="Times New Roman" w:hAnsi="Times New Roman"/>
                <w:b w:val="0"/>
                <w:i w:val="0"/>
                <w:color w:val="000000"/>
                <w:sz w:val="22"/>
              </w:rPr>
              <w:t>5.1</w:t>
            </w:r>
          </w:p>
        </w:tc>
        <w:tc>
          <w:tcPr>
            <w:tcW w:type="dxa" w:w="3120"/>
          </w:tcPr>
          <w:p>
            <w:r>
              <w:rPr>
                <w:rFonts w:ascii="Times New Roman" w:hAnsi="Times New Roman"/>
                <w:b w:val="0"/>
                <w:i w:val="0"/>
                <w:color w:val="000000"/>
                <w:sz w:val="22"/>
              </w:rPr>
              <w:t>Results and Discussion</w:t>
            </w:r>
          </w:p>
        </w:tc>
        <w:tc>
          <w:tcPr>
            <w:tcW w:type="dxa" w:w="3120"/>
          </w:tcPr>
          <w:p>
            <w:pPr>
              <w:jc w:val="right"/>
            </w:pPr>
            <w:r>
              <w:rPr>
                <w:rFonts w:ascii="Times New Roman" w:hAnsi="Times New Roman"/>
                <w:b w:val="0"/>
                <w:i w:val="0"/>
                <w:color w:val="000000"/>
                <w:sz w:val="22"/>
              </w:rPr>
              <w:t>11</w:t>
            </w:r>
          </w:p>
        </w:tc>
      </w:tr>
      <w:tr>
        <w:tc>
          <w:tcPr>
            <w:tcW w:type="dxa" w:w="3120"/>
          </w:tcPr>
          <w:p>
            <w:r>
              <w:rPr>
                <w:rFonts w:ascii="Times New Roman" w:hAnsi="Times New Roman"/>
                <w:b/>
                <w:i w:val="0"/>
                <w:color w:val="000000"/>
                <w:sz w:val="22"/>
              </w:rPr>
              <w:t>6.</w:t>
            </w:r>
          </w:p>
        </w:tc>
        <w:tc>
          <w:tcPr>
            <w:tcW w:type="dxa" w:w="3120"/>
          </w:tcPr>
          <w:p>
            <w:r>
              <w:rPr>
                <w:rFonts w:ascii="Times New Roman" w:hAnsi="Times New Roman"/>
                <w:b/>
                <w:i w:val="0"/>
                <w:color w:val="000000"/>
                <w:sz w:val="22"/>
              </w:rPr>
              <w:t>Conclusion</w:t>
            </w:r>
          </w:p>
        </w:tc>
        <w:tc>
          <w:tcPr>
            <w:tcW w:type="dxa" w:w="3120"/>
          </w:tcPr>
          <w:p>
            <w:pPr>
              <w:jc w:val="right"/>
            </w:pPr>
            <w:r>
              <w:rPr>
                <w:rFonts w:ascii="Times New Roman" w:hAnsi="Times New Roman"/>
                <w:b/>
                <w:i w:val="0"/>
                <w:color w:val="000000"/>
                <w:sz w:val="22"/>
              </w:rPr>
              <w:t>15</w:t>
            </w:r>
          </w:p>
        </w:tc>
      </w:tr>
    </w:tbl>
    <w:p>
      <w:pPr>
        <w:spacing w:after="80" w:before="400" w:line="276" w:lineRule="auto"/>
        <w:jc w:val="center"/>
      </w:pPr>
      <w:r>
        <w:rPr>
          <w:rFonts w:ascii="Times New Roman" w:hAnsi="Times New Roman"/>
          <w:b w:val="0"/>
          <w:i/>
          <w:color w:val="000000"/>
          <w:sz w:val="22"/>
        </w:rPr>
        <w:t>iii</w:t>
      </w:r>
    </w:p>
    <w:p>
      <w:r>
        <w:br w:type="page"/>
      </w:r>
    </w:p>
    <w:p>
      <w:pPr>
        <w:spacing w:after="2400" w:before="0" w:line="276" w:lineRule="auto"/>
        <w:jc w:val="right"/>
      </w:pPr>
      <w:r>
        <w:rPr>
          <w:rFonts w:ascii="Times New Roman" w:hAnsi="Times New Roman"/>
          <w:b w:val="0"/>
          <w:i w:val="0"/>
          <w:color w:val="000000"/>
          <w:sz w:val="20"/>
        </w:rPr>
        <w:t>CredLock: Zero-Knowledge Decentralized Identity Engine</w:t>
      </w:r>
    </w:p>
    <w:p>
      <w:pPr>
        <w:spacing w:after="160" w:before="0" w:line="276" w:lineRule="auto"/>
        <w:jc w:val="center"/>
      </w:pPr>
      <w:r>
        <w:rPr>
          <w:rFonts w:ascii="Times New Roman" w:hAnsi="Times New Roman"/>
          <w:b/>
          <w:i w:val="0"/>
          <w:color w:val="000000"/>
          <w:sz w:val="44"/>
        </w:rPr>
        <w:t>Chapter 1</w:t>
      </w:r>
    </w:p>
    <w:p>
      <w:pPr>
        <w:spacing w:after="3000" w:before="0" w:line="276" w:lineRule="auto"/>
        <w:jc w:val="center"/>
      </w:pPr>
      <w:r>
        <w:rPr>
          <w:rFonts w:ascii="Times New Roman" w:hAnsi="Times New Roman"/>
          <w:b/>
          <w:i w:val="0"/>
          <w:color w:val="000000"/>
          <w:sz w:val="44"/>
        </w:rPr>
        <w:t>Introduction</w:t>
      </w:r>
    </w:p>
    <w:p>
      <w:pPr>
        <w:spacing w:after="80" w:before="0" w:line="276" w:lineRule="auto"/>
        <w:jc w:val="center"/>
      </w:pPr>
      <w:r>
        <w:rPr>
          <w:rFonts w:ascii="Times New Roman" w:hAnsi="Times New Roman"/>
          <w:b w:val="0"/>
          <w:i w:val="0"/>
          <w:color w:val="000000"/>
          <w:sz w:val="20"/>
        </w:rPr>
        <w:t>Pillai HOC College of Engineering and Technology (Autonomous), Rasayani                  1</w:t>
      </w:r>
    </w:p>
    <w:p>
      <w:r>
        <w:br w:type="page"/>
      </w:r>
    </w:p>
    <w:p>
      <w:pPr>
        <w:spacing w:after="200" w:before="0" w:line="276" w:lineRule="auto"/>
        <w:jc w:val="right"/>
      </w:pPr>
      <w:r>
        <w:rPr>
          <w:rFonts w:ascii="Times New Roman" w:hAnsi="Times New Roman"/>
          <w:b w:val="0"/>
          <w:i w:val="0"/>
          <w:color w:val="000000"/>
          <w:sz w:val="20"/>
        </w:rPr>
        <w:t>CredLock: Zero-Knowledge Decentralized Identity Engine</w:t>
      </w:r>
    </w:p>
    <w:p>
      <w:pPr>
        <w:spacing w:after="120" w:before="0" w:line="276" w:lineRule="auto"/>
        <w:jc w:val="both"/>
      </w:pPr>
      <w:r>
        <w:rPr>
          <w:rFonts w:ascii="Times New Roman" w:hAnsi="Times New Roman"/>
          <w:b/>
          <w:i w:val="0"/>
          <w:color w:val="000000"/>
          <w:sz w:val="28"/>
        </w:rPr>
        <w:t>1. Introduction</w:t>
      </w:r>
    </w:p>
    <w:p>
      <w:pPr>
        <w:spacing w:after="80" w:before="0" w:line="276" w:lineRule="auto"/>
        <w:jc w:val="both"/>
      </w:pPr>
      <w:r>
        <w:rPr>
          <w:rFonts w:ascii="Times New Roman" w:hAnsi="Times New Roman"/>
          <w:b/>
          <w:i w:val="0"/>
          <w:color w:val="000000"/>
          <w:sz w:val="24"/>
        </w:rPr>
        <w:t>1.1 Background</w:t>
      </w:r>
    </w:p>
    <w:p>
      <w:pPr>
        <w:spacing w:after="160" w:before="0" w:line="324" w:lineRule="auto"/>
        <w:jc w:val="both"/>
      </w:pPr>
      <w:r>
        <w:rPr>
          <w:rFonts w:ascii="Times New Roman" w:hAnsi="Times New Roman"/>
          <w:b w:val="0"/>
          <w:i w:val="0"/>
          <w:color w:val="000000"/>
          <w:sz w:val="22"/>
        </w:rPr>
        <w:t>Digital identity verification represents one of the most fundamental requirements of contemporary web infrastructure, yet remains governed by outdated centralized paradigms. In conventional identity systems, users authenticate by presenting plaintext identity documents (e.g., Aadhaar cards, passports, driver’s licenses, academic transcripts) to third-party verifiers. In doing so, users disclose vast amounts of unnecessary, highly sensitive personally identifiable information (PII). A nightclub or web service verifying that a customer is over 18 years of age typically inspects an entire government ID, inadvertently capturing full legal names, precise dates of birth, residential addresses, and identification numbers.</w:t>
      </w:r>
    </w:p>
    <w:p>
      <w:pPr>
        <w:spacing w:after="240" w:before="0" w:line="324" w:lineRule="auto"/>
        <w:jc w:val="both"/>
      </w:pPr>
      <w:r>
        <w:rPr>
          <w:rFonts w:ascii="Times New Roman" w:hAnsi="Times New Roman"/>
          <w:b w:val="0"/>
          <w:i w:val="0"/>
          <w:color w:val="000000"/>
          <w:sz w:val="22"/>
        </w:rPr>
        <w:t>This widespread over-disclosure fuels identity theft, centralized honeypot breaches, and surveillance capitalism. Concurrently, traditional Federated Identity Providers (such as Google Sign-In or Facebook Login) establish centralized choke points capable of tracking user activity across disparate digital domains, unilaterally revoking account access, and harvesting behavioral telemetry.</w:t>
      </w:r>
    </w:p>
    <w:p>
      <w:pPr>
        <w:spacing w:after="80" w:before="0" w:line="276" w:lineRule="auto"/>
        <w:jc w:val="both"/>
      </w:pPr>
      <w:r>
        <w:rPr>
          <w:rFonts w:ascii="Times New Roman" w:hAnsi="Times New Roman"/>
          <w:b/>
          <w:i w:val="0"/>
          <w:color w:val="000000"/>
          <w:sz w:val="24"/>
        </w:rPr>
        <w:t>1.2 Motivation</w:t>
      </w:r>
    </w:p>
    <w:p>
      <w:pPr>
        <w:spacing w:after="160" w:before="0" w:line="324" w:lineRule="auto"/>
        <w:jc w:val="both"/>
      </w:pPr>
      <w:r>
        <w:rPr>
          <w:rFonts w:ascii="Times New Roman" w:hAnsi="Times New Roman"/>
          <w:b w:val="0"/>
          <w:i w:val="0"/>
          <w:color w:val="000000"/>
          <w:sz w:val="22"/>
        </w:rPr>
        <w:t>The core motivation of CredLock is to pioneer a sovereign authentication framework wherein identity holders can mathematically prove compliance with arbitrary verifier requirements without revealing any underlying private data. By synthesizing Zero-Knowledge Succinct Non-Interactive Arguments of Knowledge (zk-SNARKs) with decentralized blockchain infrastructure, CredLock proves statements of the form: “I possess a valid credential issued by an authorized authority certifying my age ≥ 18, without revealing who I am, what my exact age is, or my government serial number.”</w:t>
      </w:r>
    </w:p>
    <w:p>
      <w:pPr>
        <w:spacing w:after="600" w:before="0" w:line="324" w:lineRule="auto"/>
        <w:jc w:val="both"/>
      </w:pPr>
      <w:r>
        <w:rPr>
          <w:rFonts w:ascii="Times New Roman" w:hAnsi="Times New Roman"/>
          <w:b w:val="0"/>
          <w:i w:val="0"/>
          <w:color w:val="000000"/>
          <w:sz w:val="22"/>
        </w:rPr>
        <w:t>By enforcing client-side proof generation, private keys and plaintext attributes never leave the user’s device sandbox. Ethereum smart contracts act solely as trustless, decentralized verifiers, delivering instant, cryptographically verifiable authentication while respecting absolute individual privacy.</w:t>
      </w:r>
    </w:p>
    <w:p>
      <w:pPr>
        <w:spacing w:after="80" w:before="0" w:line="276" w:lineRule="auto"/>
        <w:jc w:val="center"/>
      </w:pPr>
      <w:r>
        <w:rPr>
          <w:rFonts w:ascii="Times New Roman" w:hAnsi="Times New Roman"/>
          <w:b w:val="0"/>
          <w:i w:val="0"/>
          <w:color w:val="000000"/>
          <w:sz w:val="20"/>
        </w:rPr>
        <w:t>Pillai HOC College of Engineering and Technology (Autonomous), Rasayani                  2</w:t>
      </w:r>
    </w:p>
    <w:p>
      <w:r>
        <w:br w:type="page"/>
      </w:r>
    </w:p>
    <w:p>
      <w:pPr>
        <w:spacing w:after="2400" w:before="0" w:line="276" w:lineRule="auto"/>
        <w:jc w:val="right"/>
      </w:pPr>
      <w:r>
        <w:rPr>
          <w:rFonts w:ascii="Times New Roman" w:hAnsi="Times New Roman"/>
          <w:b w:val="0"/>
          <w:i w:val="0"/>
          <w:color w:val="000000"/>
          <w:sz w:val="20"/>
        </w:rPr>
        <w:t>CredLock: Zero-Knowledge Decentralized Identity Engine</w:t>
      </w:r>
    </w:p>
    <w:p>
      <w:pPr>
        <w:spacing w:after="160" w:before="0" w:line="276" w:lineRule="auto"/>
        <w:jc w:val="center"/>
      </w:pPr>
      <w:r>
        <w:rPr>
          <w:rFonts w:ascii="Times New Roman" w:hAnsi="Times New Roman"/>
          <w:b/>
          <w:i w:val="0"/>
          <w:color w:val="000000"/>
          <w:sz w:val="44"/>
        </w:rPr>
        <w:t>Chapter 2</w:t>
      </w:r>
    </w:p>
    <w:p>
      <w:pPr>
        <w:spacing w:after="3000" w:before="0" w:line="276" w:lineRule="auto"/>
        <w:jc w:val="center"/>
      </w:pPr>
      <w:r>
        <w:rPr>
          <w:rFonts w:ascii="Times New Roman" w:hAnsi="Times New Roman"/>
          <w:b/>
          <w:i w:val="0"/>
          <w:color w:val="000000"/>
          <w:sz w:val="44"/>
        </w:rPr>
        <w:t>Literature Survey</w:t>
      </w:r>
    </w:p>
    <w:p>
      <w:pPr>
        <w:spacing w:after="80" w:before="0" w:line="276" w:lineRule="auto"/>
        <w:jc w:val="center"/>
      </w:pPr>
      <w:r>
        <w:rPr>
          <w:rFonts w:ascii="Times New Roman" w:hAnsi="Times New Roman"/>
          <w:b w:val="0"/>
          <w:i w:val="0"/>
          <w:color w:val="000000"/>
          <w:sz w:val="20"/>
        </w:rPr>
        <w:t>Pillai HOC College of Engineering and Technology (Autonomous), Rasayani                  3</w:t>
      </w:r>
    </w:p>
    <w:p>
      <w:r>
        <w:br w:type="page"/>
      </w:r>
    </w:p>
    <w:p>
      <w:pPr>
        <w:spacing w:after="200" w:before="0" w:line="276" w:lineRule="auto"/>
        <w:jc w:val="right"/>
      </w:pPr>
      <w:r>
        <w:rPr>
          <w:rFonts w:ascii="Times New Roman" w:hAnsi="Times New Roman"/>
          <w:b w:val="0"/>
          <w:i w:val="0"/>
          <w:color w:val="000000"/>
          <w:sz w:val="20"/>
        </w:rPr>
        <w:t>CredLock: Zero-Knowledge Decentralized Identity Engine</w:t>
      </w:r>
    </w:p>
    <w:p>
      <w:pPr>
        <w:spacing w:after="120" w:before="0" w:line="276" w:lineRule="auto"/>
        <w:jc w:val="both"/>
      </w:pPr>
      <w:r>
        <w:rPr>
          <w:rFonts w:ascii="Times New Roman" w:hAnsi="Times New Roman"/>
          <w:b/>
          <w:i w:val="0"/>
          <w:color w:val="000000"/>
          <w:sz w:val="28"/>
        </w:rPr>
        <w:t>2. Literature Survey</w:t>
      </w:r>
    </w:p>
    <w:p>
      <w:pPr>
        <w:spacing w:after="80" w:before="0" w:line="276" w:lineRule="auto"/>
        <w:jc w:val="both"/>
      </w:pPr>
      <w:r>
        <w:rPr>
          <w:rFonts w:ascii="Times New Roman" w:hAnsi="Times New Roman"/>
          <w:b/>
          <w:i w:val="0"/>
          <w:color w:val="000000"/>
          <w:sz w:val="24"/>
        </w:rPr>
        <w:t>2.1 Basic Terminologies</w:t>
      </w:r>
    </w:p>
    <w:p>
      <w:pPr>
        <w:spacing w:after="200" w:before="0" w:line="324" w:lineRule="auto"/>
        <w:jc w:val="both"/>
      </w:pPr>
      <w:r>
        <w:rPr>
          <w:rFonts w:ascii="Times New Roman" w:hAnsi="Times New Roman"/>
          <w:b w:val="0"/>
          <w:i w:val="0"/>
          <w:color w:val="000000"/>
          <w:sz w:val="22"/>
        </w:rPr>
        <w:t>• Zero-Knowledge Proofs (ZKP): Cryptographic protocols enabling a prover to convince a verifier that a mathematical statement is true without conveying any information beyond the statement’s validity.</w:t>
        <w:br/>
        <w:t>• zk-SNARKs (Groth16): Succinct Non-Interactive Arguments of Knowledge characterized by tiny proof sizes (128 bytes) and constant-time pairing-based verification.</w:t>
        <w:br/>
        <w:t>• Decentralized Identifiers (W3C DIDs): Globally unique, cryptographically verifiable identifiers anchored on decentralized networks that eliminate centralized registry dependencies.</w:t>
        <w:br/>
        <w:t>• Poseidon Algebraic Hash Function: An arithmetic sponge construction designed specifically for zero-knowledge proving systems, requiring fewer R1CS constraints than SHA-256.</w:t>
        <w:br/>
        <w:t>• Deterministic Nullifier: A unique pseudorandom token generated via Nullifier = Poseidon(sk, ScopeID), preventing proof replay attacks without revealing user identity.</w:t>
      </w:r>
    </w:p>
    <w:p>
      <w:pPr>
        <w:spacing w:after="80" w:before="0" w:line="276" w:lineRule="auto"/>
        <w:jc w:val="both"/>
      </w:pPr>
      <w:r>
        <w:rPr>
          <w:rFonts w:ascii="Times New Roman" w:hAnsi="Times New Roman"/>
          <w:b/>
          <w:i w:val="0"/>
          <w:color w:val="000000"/>
          <w:sz w:val="24"/>
        </w:rPr>
        <w:t>2.2 Existing System</w:t>
      </w:r>
    </w:p>
    <w:p>
      <w:pPr>
        <w:spacing w:after="200" w:before="0" w:line="324" w:lineRule="auto"/>
        <w:jc w:val="both"/>
      </w:pPr>
      <w:r>
        <w:rPr>
          <w:rFonts w:ascii="Times New Roman" w:hAnsi="Times New Roman"/>
          <w:b w:val="0"/>
          <w:i w:val="0"/>
          <w:color w:val="000000"/>
          <w:sz w:val="22"/>
        </w:rPr>
        <w:t>Existing digital identity solutions rely predominantly on centralized OAuth 2.0 / OpenID Connect brokers or direct document upload portals. Centralized brokers track authentication sessions across domains, while document upload portals expose plaintext PII to insecure corporate databases. Even early blockchain-based DID solutions frequently publish credential hashes or plaintext public keys on-chain, exposing users to public transaction-graph linkage.</w:t>
      </w:r>
    </w:p>
    <w:p>
      <w:pPr>
        <w:spacing w:after="80" w:before="0" w:line="276" w:lineRule="auto"/>
        <w:jc w:val="both"/>
      </w:pPr>
      <w:r>
        <w:rPr>
          <w:rFonts w:ascii="Times New Roman" w:hAnsi="Times New Roman"/>
          <w:b/>
          <w:i w:val="0"/>
          <w:color w:val="000000"/>
          <w:sz w:val="24"/>
        </w:rPr>
        <w:t>2.3 Problem Statement</w:t>
      </w:r>
    </w:p>
    <w:p>
      <w:pPr>
        <w:spacing w:after="600" w:before="0" w:line="324" w:lineRule="auto"/>
        <w:jc w:val="both"/>
      </w:pPr>
      <w:r>
        <w:rPr>
          <w:rFonts w:ascii="Times New Roman" w:hAnsi="Times New Roman"/>
          <w:b w:val="0"/>
          <w:i w:val="0"/>
          <w:color w:val="000000"/>
          <w:sz w:val="22"/>
        </w:rPr>
        <w:t>To design and implement a decentralized, zero-knowledge identity verification engine that enables users to prove eligibility predicates (such as age threshold or membership) over Ethereum without exposing plaintext attributes, preventing identity tracking and proof replay attacks while optimizing gas execution costs.</w:t>
      </w:r>
    </w:p>
    <w:p>
      <w:pPr>
        <w:spacing w:after="80" w:before="0" w:line="276" w:lineRule="auto"/>
        <w:jc w:val="center"/>
      </w:pPr>
      <w:r>
        <w:rPr>
          <w:rFonts w:ascii="Times New Roman" w:hAnsi="Times New Roman"/>
          <w:b w:val="0"/>
          <w:i w:val="0"/>
          <w:color w:val="000000"/>
          <w:sz w:val="20"/>
        </w:rPr>
        <w:t>Pillai HOC College of Engineering and Technology (Autonomous), Rasayani                  4</w:t>
      </w:r>
    </w:p>
    <w:p>
      <w:r>
        <w:br w:type="page"/>
      </w:r>
    </w:p>
    <w:p>
      <w:pPr>
        <w:spacing w:after="2400" w:before="0" w:line="276" w:lineRule="auto"/>
        <w:jc w:val="right"/>
      </w:pPr>
      <w:r>
        <w:rPr>
          <w:rFonts w:ascii="Times New Roman" w:hAnsi="Times New Roman"/>
          <w:b w:val="0"/>
          <w:i w:val="0"/>
          <w:color w:val="000000"/>
          <w:sz w:val="20"/>
        </w:rPr>
        <w:t>CredLock: Zero-Knowledge Decentralized Identity Engine</w:t>
      </w:r>
    </w:p>
    <w:p>
      <w:pPr>
        <w:spacing w:after="160" w:before="0" w:line="276" w:lineRule="auto"/>
        <w:jc w:val="center"/>
      </w:pPr>
      <w:r>
        <w:rPr>
          <w:rFonts w:ascii="Times New Roman" w:hAnsi="Times New Roman"/>
          <w:b/>
          <w:i w:val="0"/>
          <w:color w:val="000000"/>
          <w:sz w:val="44"/>
        </w:rPr>
        <w:t>Chapter 3</w:t>
      </w:r>
    </w:p>
    <w:p>
      <w:pPr>
        <w:spacing w:after="3000" w:before="0" w:line="276" w:lineRule="auto"/>
        <w:jc w:val="center"/>
      </w:pPr>
      <w:r>
        <w:rPr>
          <w:rFonts w:ascii="Times New Roman" w:hAnsi="Times New Roman"/>
          <w:b/>
          <w:i w:val="0"/>
          <w:color w:val="000000"/>
          <w:sz w:val="44"/>
        </w:rPr>
        <w:t>Requirement Gathering</w:t>
      </w:r>
    </w:p>
    <w:p>
      <w:pPr>
        <w:spacing w:after="80" w:before="0" w:line="276" w:lineRule="auto"/>
        <w:jc w:val="center"/>
      </w:pPr>
      <w:r>
        <w:rPr>
          <w:rFonts w:ascii="Times New Roman" w:hAnsi="Times New Roman"/>
          <w:b w:val="0"/>
          <w:i w:val="0"/>
          <w:color w:val="000000"/>
          <w:sz w:val="20"/>
        </w:rPr>
        <w:t>Pillai HOC College of Engineering and Technology (Autonomous), Rasayani                  5</w:t>
      </w:r>
    </w:p>
    <w:p>
      <w:r>
        <w:br w:type="page"/>
      </w:r>
    </w:p>
    <w:p>
      <w:pPr>
        <w:spacing w:after="200" w:before="0" w:line="276" w:lineRule="auto"/>
        <w:jc w:val="right"/>
      </w:pPr>
      <w:r>
        <w:rPr>
          <w:rFonts w:ascii="Times New Roman" w:hAnsi="Times New Roman"/>
          <w:b w:val="0"/>
          <w:i w:val="0"/>
          <w:color w:val="000000"/>
          <w:sz w:val="20"/>
        </w:rPr>
        <w:t>CredLock: Zero-Knowledge Decentralized Identity Engine</w:t>
      </w:r>
    </w:p>
    <w:p>
      <w:pPr>
        <w:spacing w:after="120" w:before="0" w:line="276" w:lineRule="auto"/>
        <w:jc w:val="both"/>
      </w:pPr>
      <w:r>
        <w:rPr>
          <w:rFonts w:ascii="Times New Roman" w:hAnsi="Times New Roman"/>
          <w:b/>
          <w:i w:val="0"/>
          <w:color w:val="000000"/>
          <w:sz w:val="28"/>
        </w:rPr>
        <w:t>3. Requirement Gathering</w:t>
      </w:r>
    </w:p>
    <w:p>
      <w:pPr>
        <w:spacing w:after="120" w:before="0" w:line="276" w:lineRule="auto"/>
        <w:jc w:val="both"/>
      </w:pPr>
      <w:r>
        <w:rPr>
          <w:rFonts w:ascii="Times New Roman" w:hAnsi="Times New Roman"/>
          <w:b/>
          <w:i w:val="0"/>
          <w:color w:val="000000"/>
          <w:sz w:val="24"/>
        </w:rPr>
        <w:t>3.1 Software and Hardware Requirements</w:t>
      </w:r>
    </w:p>
    <w:p>
      <w:pPr>
        <w:spacing w:after="240" w:before="0" w:line="324" w:lineRule="auto"/>
        <w:jc w:val="both"/>
      </w:pPr>
      <w:r>
        <w:rPr>
          <w:rFonts w:ascii="Times New Roman" w:hAnsi="Times New Roman"/>
          <w:b w:val="0"/>
          <w:i w:val="0"/>
          <w:color w:val="000000"/>
          <w:sz w:val="22"/>
        </w:rPr>
        <w:t>Software Requirements:</w:t>
        <w:br/>
        <w:t>• Operating System: Windows 10/11 (64-bit), macOS Monterey+, or Ubuntu Linux 22.04 LTS</w:t>
        <w:br/>
        <w:t>• Runtime Environment: Node.js (v18.x or v20.x LTS), Python 3.10+</w:t>
        <w:br/>
        <w:t>• Smart Contract Toolchain: Solidity v0.8.20, Hardhat / Foundry framework</w:t>
        <w:br/>
        <w:t>• Zero-Knowledge Toolkit: Circom 2.1.6 compiler, SnarkJS library (BN254 elliptic curve)</w:t>
        <w:br/>
        <w:t>• Blockchain Network: Ethereum Sepolia Testnet / Local Ethereum Ganache Node</w:t>
        <w:br/>
        <w:t>• Client Prover &amp; UI: React 18, Next.js, Three.js / WebGL, ethers.js v6</w:t>
        <w:br/>
        <w:t>• Web Browser: Google Chrome / Microsoft Edge with WebAssembly support</w:t>
      </w:r>
    </w:p>
    <w:p>
      <w:pPr>
        <w:spacing w:after="600" w:before="0" w:line="324" w:lineRule="auto"/>
        <w:jc w:val="both"/>
      </w:pPr>
      <w:r>
        <w:rPr>
          <w:rFonts w:ascii="Times New Roman" w:hAnsi="Times New Roman"/>
          <w:b w:val="0"/>
          <w:i w:val="0"/>
          <w:color w:val="000000"/>
          <w:sz w:val="22"/>
        </w:rPr>
        <w:t>Hardware Requirements:</w:t>
        <w:br/>
        <w:t>• Processor: Intel Core i5 / AMD Ryzen 5 or higher (Multi-core recommended for WASM witness generation)</w:t>
        <w:br/>
        <w:t>• System Memory (RAM): Minimum 8 GB (16 GB recommended for circuit constraint synthesis)</w:t>
        <w:br/>
        <w:t>• Storage: 256 GB SSD (Solid State Drive) with at least 10 GB free disk space</w:t>
        <w:br/>
        <w:t>• Display: 1920 × 1080 full HD display for real-time 3D Merkle tree visualization</w:t>
        <w:br/>
        <w:t>• Network: Broadband internet connection (minimum 10 Mbps) for Ethereum node RPC access</w:t>
      </w:r>
    </w:p>
    <w:p>
      <w:pPr>
        <w:spacing w:after="80" w:before="0" w:line="276" w:lineRule="auto"/>
        <w:jc w:val="center"/>
      </w:pPr>
      <w:r>
        <w:rPr>
          <w:rFonts w:ascii="Times New Roman" w:hAnsi="Times New Roman"/>
          <w:b w:val="0"/>
          <w:i w:val="0"/>
          <w:color w:val="000000"/>
          <w:sz w:val="20"/>
        </w:rPr>
        <w:t>Pillai HOC College of Engineering and Technology (Autonomous), Rasayani                  6</w:t>
      </w:r>
    </w:p>
    <w:p>
      <w:r>
        <w:br w:type="page"/>
      </w:r>
    </w:p>
    <w:p>
      <w:pPr>
        <w:spacing w:after="2400" w:before="0" w:line="276" w:lineRule="auto"/>
        <w:jc w:val="right"/>
      </w:pPr>
      <w:r>
        <w:rPr>
          <w:rFonts w:ascii="Times New Roman" w:hAnsi="Times New Roman"/>
          <w:b w:val="0"/>
          <w:i w:val="0"/>
          <w:color w:val="000000"/>
          <w:sz w:val="20"/>
        </w:rPr>
        <w:t>CredLock: Zero-Knowledge Decentralized Identity Engine</w:t>
      </w:r>
    </w:p>
    <w:p>
      <w:pPr>
        <w:spacing w:after="160" w:before="0" w:line="276" w:lineRule="auto"/>
        <w:jc w:val="center"/>
      </w:pPr>
      <w:r>
        <w:rPr>
          <w:rFonts w:ascii="Times New Roman" w:hAnsi="Times New Roman"/>
          <w:b/>
          <w:i w:val="0"/>
          <w:color w:val="000000"/>
          <w:sz w:val="44"/>
        </w:rPr>
        <w:t>Chapter 4</w:t>
      </w:r>
    </w:p>
    <w:p>
      <w:pPr>
        <w:spacing w:after="3000" w:before="0" w:line="276" w:lineRule="auto"/>
        <w:jc w:val="center"/>
      </w:pPr>
      <w:r>
        <w:rPr>
          <w:rFonts w:ascii="Times New Roman" w:hAnsi="Times New Roman"/>
          <w:b/>
          <w:i w:val="0"/>
          <w:color w:val="000000"/>
          <w:sz w:val="44"/>
        </w:rPr>
        <w:t>Plan of Project</w:t>
      </w:r>
    </w:p>
    <w:p>
      <w:pPr>
        <w:spacing w:after="80" w:before="0" w:line="276" w:lineRule="auto"/>
        <w:jc w:val="center"/>
      </w:pPr>
      <w:r>
        <w:rPr>
          <w:rFonts w:ascii="Times New Roman" w:hAnsi="Times New Roman"/>
          <w:b w:val="0"/>
          <w:i w:val="0"/>
          <w:color w:val="000000"/>
          <w:sz w:val="20"/>
        </w:rPr>
        <w:t>Pillai HOC College of Engineering and Technology (Autonomous), Rasayani                  7</w:t>
      </w:r>
    </w:p>
    <w:p>
      <w:r>
        <w:br w:type="page"/>
      </w:r>
    </w:p>
    <w:p>
      <w:pPr>
        <w:spacing w:after="200" w:before="0" w:line="276" w:lineRule="auto"/>
        <w:jc w:val="right"/>
      </w:pPr>
      <w:r>
        <w:rPr>
          <w:rFonts w:ascii="Times New Roman" w:hAnsi="Times New Roman"/>
          <w:b w:val="0"/>
          <w:i w:val="0"/>
          <w:color w:val="000000"/>
          <w:sz w:val="20"/>
        </w:rPr>
        <w:t>CredLock: Zero-Knowledge Decentralized Identity Engine</w:t>
      </w:r>
    </w:p>
    <w:p>
      <w:pPr>
        <w:spacing w:after="120" w:before="0" w:line="276" w:lineRule="auto"/>
        <w:jc w:val="both"/>
      </w:pPr>
      <w:r>
        <w:rPr>
          <w:rFonts w:ascii="Times New Roman" w:hAnsi="Times New Roman"/>
          <w:b/>
          <w:i w:val="0"/>
          <w:color w:val="000000"/>
          <w:sz w:val="28"/>
        </w:rPr>
        <w:t>4. Plan of Project</w:t>
      </w:r>
    </w:p>
    <w:p>
      <w:pPr>
        <w:spacing w:after="80" w:before="0" w:line="276" w:lineRule="auto"/>
        <w:jc w:val="both"/>
      </w:pPr>
      <w:r>
        <w:rPr>
          <w:rFonts w:ascii="Times New Roman" w:hAnsi="Times New Roman"/>
          <w:b/>
          <w:i w:val="0"/>
          <w:color w:val="000000"/>
          <w:sz w:val="24"/>
        </w:rPr>
        <w:t>4.1 Proposed System Architecture</w:t>
      </w:r>
    </w:p>
    <w:p>
      <w:pPr>
        <w:spacing w:after="80"/>
        <w:jc w:val="center"/>
      </w:pPr>
      <w:r>
        <w:drawing>
          <wp:inline xmlns:a="http://schemas.openxmlformats.org/drawingml/2006/main" xmlns:pic="http://schemas.openxmlformats.org/drawingml/2006/picture">
            <wp:extent cx="5303520" cy="3052524"/>
            <wp:docPr id="3" name="Picture 3"/>
            <wp:cNvGraphicFramePr>
              <a:graphicFrameLocks noChangeAspect="1"/>
            </wp:cNvGraphicFramePr>
            <a:graphic>
              <a:graphicData uri="http://schemas.openxmlformats.org/drawingml/2006/picture">
                <pic:pic>
                  <pic:nvPicPr>
                    <pic:cNvPr id="0" name="credlock_architecture_diagram.png"/>
                    <pic:cNvPicPr/>
                  </pic:nvPicPr>
                  <pic:blipFill>
                    <a:blip r:embed="rId11"/>
                    <a:stretch>
                      <a:fillRect/>
                    </a:stretch>
                  </pic:blipFill>
                  <pic:spPr>
                    <a:xfrm>
                      <a:off x="0" y="0"/>
                      <a:ext cx="5303520" cy="3052524"/>
                    </a:xfrm>
                    <a:prstGeom prst="rect"/>
                  </pic:spPr>
                </pic:pic>
              </a:graphicData>
            </a:graphic>
          </wp:inline>
        </w:drawing>
      </w:r>
    </w:p>
    <w:p>
      <w:pPr>
        <w:spacing w:after="160" w:before="0" w:line="276" w:lineRule="auto"/>
        <w:jc w:val="center"/>
      </w:pPr>
      <w:r>
        <w:rPr>
          <w:rFonts w:ascii="Times New Roman" w:hAnsi="Times New Roman"/>
          <w:b/>
          <w:i w:val="0"/>
          <w:color w:val="000000"/>
          <w:sz w:val="21"/>
        </w:rPr>
        <w:t>Figure 4.1.1: System Architecture</w:t>
      </w:r>
    </w:p>
    <w:p>
      <w:pPr>
        <w:spacing w:after="400" w:before="0" w:line="324" w:lineRule="auto"/>
        <w:jc w:val="both"/>
      </w:pPr>
      <w:r>
        <w:rPr>
          <w:rFonts w:ascii="Times New Roman" w:hAnsi="Times New Roman"/>
          <w:b w:val="0"/>
          <w:i w:val="0"/>
          <w:color w:val="000000"/>
          <w:sz w:val="22"/>
        </w:rPr>
        <w:t>The system architecture of CredLock illustrates the comprehensive cryptographic pipeline uniting client-side zero-knowledge proof generation and Ethereum on-chain verification. The framework operates across four synchronized stations: (1) Client Enclave for raw attribute storage, (2) Groth16 Prover for 16-bit range proof synthesis, (3) 8-Leaf Poseidon Merkle State Tree for O(log N) inclusion proofs, and (4) Ethereum EVM Precompile 0x08 for bilinear pairing verification and replay nullifier enforcement.</w:t>
      </w:r>
    </w:p>
    <w:p>
      <w:pPr>
        <w:spacing w:after="80" w:before="0" w:line="276" w:lineRule="auto"/>
        <w:jc w:val="center"/>
      </w:pPr>
      <w:r>
        <w:rPr>
          <w:rFonts w:ascii="Times New Roman" w:hAnsi="Times New Roman"/>
          <w:b w:val="0"/>
          <w:i w:val="0"/>
          <w:color w:val="000000"/>
          <w:sz w:val="20"/>
        </w:rPr>
        <w:t>Pillai HOC College of Engineering and Technology (Autonomous), Rasayani                  8</w:t>
      </w:r>
    </w:p>
    <w:p>
      <w:r>
        <w:br w:type="page"/>
      </w:r>
    </w:p>
    <w:p>
      <w:pPr>
        <w:spacing w:after="200" w:before="0" w:line="276" w:lineRule="auto"/>
        <w:jc w:val="right"/>
      </w:pPr>
      <w:r>
        <w:rPr>
          <w:rFonts w:ascii="Times New Roman" w:hAnsi="Times New Roman"/>
          <w:b w:val="0"/>
          <w:i w:val="0"/>
          <w:color w:val="000000"/>
          <w:sz w:val="20"/>
        </w:rPr>
        <w:t>CredLock: Zero-Knowledge Decentralized Identity Engine</w:t>
      </w:r>
    </w:p>
    <w:p>
      <w:pPr>
        <w:spacing w:after="120" w:before="0" w:line="276" w:lineRule="auto"/>
        <w:jc w:val="both"/>
      </w:pPr>
      <w:r>
        <w:rPr>
          <w:rFonts w:ascii="Times New Roman" w:hAnsi="Times New Roman"/>
          <w:b/>
          <w:i w:val="0"/>
          <w:color w:val="000000"/>
          <w:sz w:val="24"/>
        </w:rPr>
        <w:t>4.2 Methodology</w:t>
      </w:r>
    </w:p>
    <w:p>
      <w:pPr>
        <w:spacing w:after="120" w:before="0" w:line="276" w:lineRule="auto"/>
        <w:jc w:val="both"/>
      </w:pPr>
      <w:r>
        <w:rPr>
          <w:rFonts w:ascii="Times New Roman" w:hAnsi="Times New Roman"/>
          <w:b w:val="0"/>
          <w:i w:val="0"/>
          <w:color w:val="000000"/>
          <w:sz w:val="22"/>
        </w:rPr>
        <w:t>The operational methodology of CredLock unfolds across four sequential phases:</w:t>
      </w:r>
    </w:p>
    <w:p>
      <w:pPr>
        <w:spacing w:after="160" w:before="0" w:line="324" w:lineRule="auto"/>
        <w:jc w:val="both"/>
      </w:pPr>
      <w:r>
        <w:rPr>
          <w:rFonts w:ascii="Times New Roman" w:hAnsi="Times New Roman"/>
          <w:b w:val="0"/>
          <w:i w:val="0"/>
          <w:color w:val="000000"/>
          <w:sz w:val="22"/>
        </w:rPr>
        <w:t>Phase 1: Enclave Credential Ingestion &amp; Commitment Generation:</w:t>
        <w:br/>
        <w:t>The user enrolls their identity attributes (Secret Key sk, Age, Academic CGPA) inside the client device sandbox. An algebraic commitment C = Poseidon(sk, salt) is computed and anchored as a leaf node in the on-chain Merkle registry.</w:t>
      </w:r>
    </w:p>
    <w:p>
      <w:pPr>
        <w:spacing w:after="160" w:before="0" w:line="324" w:lineRule="auto"/>
        <w:jc w:val="both"/>
      </w:pPr>
      <w:r>
        <w:rPr>
          <w:rFonts w:ascii="Times New Roman" w:hAnsi="Times New Roman"/>
          <w:b w:val="0"/>
          <w:i w:val="0"/>
          <w:color w:val="000000"/>
          <w:sz w:val="22"/>
        </w:rPr>
        <w:t>Phase 2: Arithmetic Circuit Range Decomposition:</w:t>
        <w:br/>
        <w:t>When a verifier challenges the user with a threshold predicate (e.g., Age ≥ 18), the client circuit computes the difference Δ = Age - 18. To prevent finite field underflow wraparound, Δ is decomposed into 16 binary bits (b0, ..., b15), enforcing boolean constraints bj(bj - 1) = 0.</w:t>
      </w:r>
    </w:p>
    <w:p>
      <w:pPr>
        <w:spacing w:after="160" w:before="0" w:line="324" w:lineRule="auto"/>
        <w:jc w:val="both"/>
      </w:pPr>
      <w:r>
        <w:rPr>
          <w:rFonts w:ascii="Times New Roman" w:hAnsi="Times New Roman"/>
          <w:b w:val="0"/>
          <w:i w:val="0"/>
          <w:color w:val="000000"/>
          <w:sz w:val="22"/>
        </w:rPr>
        <w:t>Phase 3: Poseidon Merkle Membership Path Proof:</w:t>
        <w:br/>
        <w:t>The circuit validates that commitment C belongs to the current state tree by ascending the binary tree from leaf to root using 3 sibling witness nodes: Root = Poseidon(H1, Sibling2).</w:t>
      </w:r>
    </w:p>
    <w:p>
      <w:pPr>
        <w:spacing w:after="400" w:before="0" w:line="324" w:lineRule="auto"/>
        <w:jc w:val="both"/>
      </w:pPr>
      <w:r>
        <w:rPr>
          <w:rFonts w:ascii="Times New Roman" w:hAnsi="Times New Roman"/>
          <w:b w:val="0"/>
          <w:i w:val="0"/>
          <w:color w:val="000000"/>
          <w:sz w:val="22"/>
        </w:rPr>
        <w:t>Phase 4: Groth16 Proof Synthesis &amp; EVM Precompile Verification:</w:t>
        <w:br/>
        <w:t>The client synthesizes proof π = (πA, πB, πC). The Ethereum smart contract executes a bilinear pairing check via precompile 0x08: e(πA, πB) = e(α, β) · e(∑ xi γi, δ) · e(πC, δ). Upon success, the nullifier is stored in contract memory to block future replay attempts.</w:t>
      </w:r>
    </w:p>
    <w:p>
      <w:pPr>
        <w:spacing w:after="80" w:before="0" w:line="276" w:lineRule="auto"/>
        <w:jc w:val="center"/>
      </w:pPr>
      <w:r>
        <w:rPr>
          <w:rFonts w:ascii="Times New Roman" w:hAnsi="Times New Roman"/>
          <w:b w:val="0"/>
          <w:i w:val="0"/>
          <w:color w:val="000000"/>
          <w:sz w:val="20"/>
        </w:rPr>
        <w:t>Pillai HOC College of Engineering and Technology (Autonomous), Rasayani                  9</w:t>
      </w:r>
    </w:p>
    <w:p>
      <w:r>
        <w:br w:type="page"/>
      </w:r>
    </w:p>
    <w:p>
      <w:pPr>
        <w:spacing w:after="2400" w:before="0" w:line="276" w:lineRule="auto"/>
        <w:jc w:val="right"/>
      </w:pPr>
      <w:r>
        <w:rPr>
          <w:rFonts w:ascii="Times New Roman" w:hAnsi="Times New Roman"/>
          <w:b w:val="0"/>
          <w:i w:val="0"/>
          <w:color w:val="000000"/>
          <w:sz w:val="20"/>
        </w:rPr>
        <w:t>CredLock: Zero-Knowledge Decentralized Identity Engine</w:t>
      </w:r>
    </w:p>
    <w:p>
      <w:pPr>
        <w:spacing w:after="160" w:before="0" w:line="276" w:lineRule="auto"/>
        <w:jc w:val="center"/>
      </w:pPr>
      <w:r>
        <w:rPr>
          <w:rFonts w:ascii="Times New Roman" w:hAnsi="Times New Roman"/>
          <w:b/>
          <w:i w:val="0"/>
          <w:color w:val="000000"/>
          <w:sz w:val="44"/>
        </w:rPr>
        <w:t>Chapter 5</w:t>
      </w:r>
    </w:p>
    <w:p>
      <w:pPr>
        <w:spacing w:after="3000" w:before="0" w:line="276" w:lineRule="auto"/>
        <w:jc w:val="center"/>
      </w:pPr>
      <w:r>
        <w:rPr>
          <w:rFonts w:ascii="Times New Roman" w:hAnsi="Times New Roman"/>
          <w:b/>
          <w:i w:val="0"/>
          <w:color w:val="000000"/>
          <w:sz w:val="44"/>
        </w:rPr>
        <w:t>Result Analysis</w:t>
      </w:r>
    </w:p>
    <w:p>
      <w:pPr>
        <w:spacing w:after="80" w:before="0" w:line="276" w:lineRule="auto"/>
        <w:jc w:val="center"/>
      </w:pPr>
      <w:r>
        <w:rPr>
          <w:rFonts w:ascii="Times New Roman" w:hAnsi="Times New Roman"/>
          <w:b w:val="0"/>
          <w:i w:val="0"/>
          <w:color w:val="000000"/>
          <w:sz w:val="20"/>
        </w:rPr>
        <w:t>Pillai HOC College of Engineering and Technology (Autonomous), Rasayani                 10</w:t>
      </w:r>
    </w:p>
    <w:p>
      <w:r>
        <w:br w:type="page"/>
      </w:r>
    </w:p>
    <w:p>
      <w:pPr>
        <w:spacing w:after="200" w:before="0" w:line="276" w:lineRule="auto"/>
        <w:jc w:val="right"/>
      </w:pPr>
      <w:r>
        <w:rPr>
          <w:rFonts w:ascii="Times New Roman" w:hAnsi="Times New Roman"/>
          <w:b w:val="0"/>
          <w:i w:val="0"/>
          <w:color w:val="000000"/>
          <w:sz w:val="20"/>
        </w:rPr>
        <w:t>CredLock: Zero-Knowledge Decentralized Identity Engine</w:t>
      </w:r>
    </w:p>
    <w:p>
      <w:pPr>
        <w:spacing w:after="80" w:before="0" w:line="276" w:lineRule="auto"/>
        <w:jc w:val="both"/>
      </w:pPr>
      <w:r>
        <w:rPr>
          <w:rFonts w:ascii="Times New Roman" w:hAnsi="Times New Roman"/>
          <w:b/>
          <w:i w:val="0"/>
          <w:color w:val="000000"/>
          <w:sz w:val="28"/>
        </w:rPr>
        <w:t>5. Result Analysis</w:t>
      </w:r>
    </w:p>
    <w:p>
      <w:pPr>
        <w:spacing w:after="80" w:before="0" w:line="276" w:lineRule="auto"/>
        <w:jc w:val="both"/>
      </w:pPr>
      <w:r>
        <w:rPr>
          <w:rFonts w:ascii="Times New Roman" w:hAnsi="Times New Roman"/>
          <w:b/>
          <w:i w:val="0"/>
          <w:color w:val="000000"/>
          <w:sz w:val="24"/>
        </w:rPr>
        <w:t>5.1 Results and Discussion</w:t>
      </w:r>
    </w:p>
    <w:p>
      <w:pPr>
        <w:spacing w:after="80" w:before="0" w:line="276" w:lineRule="auto"/>
        <w:jc w:val="both"/>
      </w:pPr>
      <w:r>
        <w:rPr>
          <w:rFonts w:ascii="Times New Roman" w:hAnsi="Times New Roman"/>
          <w:b/>
          <w:i w:val="0"/>
          <w:color w:val="000000"/>
          <w:sz w:val="22"/>
        </w:rPr>
        <w:t>5.1.1 Identity Enclave Selection &amp; Private Attribute Shielding</w:t>
      </w:r>
    </w:p>
    <w:p>
      <w:pPr>
        <w:spacing w:after="80"/>
        <w:jc w:val="center"/>
      </w:pPr>
      <w:r>
        <w:drawing>
          <wp:inline xmlns:a="http://schemas.openxmlformats.org/drawingml/2006/main" xmlns:pic="http://schemas.openxmlformats.org/drawingml/2006/picture">
            <wp:extent cx="5029200" cy="2828925"/>
            <wp:docPr id="4" name="Picture 4"/>
            <wp:cNvGraphicFramePr>
              <a:graphicFrameLocks noChangeAspect="1"/>
            </wp:cNvGraphicFramePr>
            <a:graphic>
              <a:graphicData uri="http://schemas.openxmlformats.org/drawingml/2006/picture">
                <pic:pic>
                  <pic:nvPicPr>
                    <pic:cNvPr id="0" name="fig_5_1_1_enclave_selection.png"/>
                    <pic:cNvPicPr/>
                  </pic:nvPicPr>
                  <pic:blipFill>
                    <a:blip r:embed="rId12"/>
                    <a:stretch>
                      <a:fillRect/>
                    </a:stretch>
                  </pic:blipFill>
                  <pic:spPr>
                    <a:xfrm>
                      <a:off x="0" y="0"/>
                      <a:ext cx="5029200" cy="2828925"/>
                    </a:xfrm>
                    <a:prstGeom prst="rect"/>
                  </pic:spPr>
                </pic:pic>
              </a:graphicData>
            </a:graphic>
          </wp:inline>
        </w:drawing>
      </w:r>
    </w:p>
    <w:p>
      <w:pPr>
        <w:spacing w:after="160" w:before="0" w:line="276" w:lineRule="auto"/>
        <w:jc w:val="center"/>
      </w:pPr>
      <w:r>
        <w:rPr>
          <w:rFonts w:ascii="Times New Roman" w:hAnsi="Times New Roman"/>
          <w:b/>
          <w:i w:val="0"/>
          <w:color w:val="000000"/>
          <w:sz w:val="21"/>
        </w:rPr>
        <w:t>Figure 5.1.1: Identity Enclave Selection &amp; Private Attribute Shielding</w:t>
      </w:r>
    </w:p>
    <w:p>
      <w:pPr>
        <w:spacing w:after="400" w:before="0" w:line="324" w:lineRule="auto"/>
        <w:jc w:val="both"/>
      </w:pPr>
      <w:r>
        <w:rPr>
          <w:rFonts w:ascii="Times New Roman" w:hAnsi="Times New Roman"/>
          <w:b w:val="0"/>
          <w:i w:val="0"/>
          <w:color w:val="000000"/>
          <w:sz w:val="22"/>
        </w:rPr>
        <w:t>The screenshot illustrates Step 1 of the CredLock dashboard. The user selects an enrolled student identity (Viswa, Leaf #0, Age 23, CGPA 8.92). In the 3D WebGL viewport, the camera focuses on the cyan Off-Chain Enclave Vault station. Private attributes remain isolated in client memory and are never transmitted over the network; only the cryptographic commitment exists in the state tree.</w:t>
      </w:r>
    </w:p>
    <w:p>
      <w:pPr>
        <w:spacing w:after="80" w:before="0" w:line="276" w:lineRule="auto"/>
        <w:jc w:val="center"/>
      </w:pPr>
      <w:r>
        <w:rPr>
          <w:rFonts w:ascii="Times New Roman" w:hAnsi="Times New Roman"/>
          <w:b w:val="0"/>
          <w:i w:val="0"/>
          <w:color w:val="000000"/>
          <w:sz w:val="20"/>
        </w:rPr>
        <w:t>Pillai HOC College of Engineering and Technology (Autonomous), Rasayani                 11</w:t>
      </w:r>
    </w:p>
    <w:p>
      <w:r>
        <w:br w:type="page"/>
      </w:r>
    </w:p>
    <w:p>
      <w:pPr>
        <w:spacing w:after="200" w:before="0" w:line="276" w:lineRule="auto"/>
        <w:jc w:val="right"/>
      </w:pPr>
      <w:r>
        <w:rPr>
          <w:rFonts w:ascii="Times New Roman" w:hAnsi="Times New Roman"/>
          <w:b w:val="0"/>
          <w:i w:val="0"/>
          <w:color w:val="000000"/>
          <w:sz w:val="20"/>
        </w:rPr>
        <w:t>CredLock: Zero-Knowledge Decentralized Identity Engine</w:t>
      </w:r>
    </w:p>
    <w:p>
      <w:pPr>
        <w:spacing w:after="80" w:before="0" w:line="276" w:lineRule="auto"/>
        <w:jc w:val="both"/>
      </w:pPr>
      <w:r>
        <w:rPr>
          <w:rFonts w:ascii="Times New Roman" w:hAnsi="Times New Roman"/>
          <w:b/>
          <w:i w:val="0"/>
          <w:color w:val="000000"/>
          <w:sz w:val="22"/>
        </w:rPr>
        <w:t>5.1.2 Policy Gate Specification &amp; Range Decomposition</w:t>
      </w:r>
    </w:p>
    <w:p>
      <w:pPr>
        <w:spacing w:after="80"/>
        <w:jc w:val="center"/>
      </w:pPr>
      <w:r>
        <w:drawing>
          <wp:inline xmlns:a="http://schemas.openxmlformats.org/drawingml/2006/main" xmlns:pic="http://schemas.openxmlformats.org/drawingml/2006/picture">
            <wp:extent cx="5029200" cy="2828925"/>
            <wp:docPr id="5" name="Picture 5"/>
            <wp:cNvGraphicFramePr>
              <a:graphicFrameLocks noChangeAspect="1"/>
            </wp:cNvGraphicFramePr>
            <a:graphic>
              <a:graphicData uri="http://schemas.openxmlformats.org/drawingml/2006/picture">
                <pic:pic>
                  <pic:nvPicPr>
                    <pic:cNvPr id="0" name="fig_5_1_2_policy_gate.png"/>
                    <pic:cNvPicPr/>
                  </pic:nvPicPr>
                  <pic:blipFill>
                    <a:blip r:embed="rId13"/>
                    <a:stretch>
                      <a:fillRect/>
                    </a:stretch>
                  </pic:blipFill>
                  <pic:spPr>
                    <a:xfrm>
                      <a:off x="0" y="0"/>
                      <a:ext cx="5029200" cy="2828925"/>
                    </a:xfrm>
                    <a:prstGeom prst="rect"/>
                  </pic:spPr>
                </pic:pic>
              </a:graphicData>
            </a:graphic>
          </wp:inline>
        </w:drawing>
      </w:r>
    </w:p>
    <w:p>
      <w:pPr>
        <w:spacing w:after="160" w:before="0" w:line="276" w:lineRule="auto"/>
        <w:jc w:val="center"/>
      </w:pPr>
      <w:r>
        <w:rPr>
          <w:rFonts w:ascii="Times New Roman" w:hAnsi="Times New Roman"/>
          <w:b/>
          <w:i w:val="0"/>
          <w:color w:val="000000"/>
          <w:sz w:val="21"/>
        </w:rPr>
        <w:t>Figure 5.1.2: Policy Gate Specification &amp; Range Decomposition</w:t>
      </w:r>
    </w:p>
    <w:p>
      <w:pPr>
        <w:spacing w:after="400" w:before="0" w:line="324" w:lineRule="auto"/>
        <w:jc w:val="both"/>
      </w:pPr>
      <w:r>
        <w:rPr>
          <w:rFonts w:ascii="Times New Roman" w:hAnsi="Times New Roman"/>
          <w:b w:val="0"/>
          <w:i w:val="0"/>
          <w:color w:val="000000"/>
          <w:sz w:val="22"/>
        </w:rPr>
        <w:t>Step 2 demonstrates the Policy Challenge Gate. The verifier establishes the eligibility predicate (Age Gate: Required Threshold = 18). Preset options for Academic CGPA (≥ 8.5) and Income Solvency are available. The circuit configures a 16-bit binary range proof Δ = Age - 18 ≥ 0 without disclosing the prover’s birthdate.</w:t>
      </w:r>
    </w:p>
    <w:p>
      <w:pPr>
        <w:spacing w:after="80" w:before="0" w:line="276" w:lineRule="auto"/>
        <w:jc w:val="center"/>
      </w:pPr>
      <w:r>
        <w:rPr>
          <w:rFonts w:ascii="Times New Roman" w:hAnsi="Times New Roman"/>
          <w:b w:val="0"/>
          <w:i w:val="0"/>
          <w:color w:val="000000"/>
          <w:sz w:val="20"/>
        </w:rPr>
        <w:t>Pillai HOC College of Engineering and Technology (Autonomous), Rasayani                 12</w:t>
      </w:r>
    </w:p>
    <w:p>
      <w:r>
        <w:br w:type="page"/>
      </w:r>
    </w:p>
    <w:p>
      <w:pPr>
        <w:spacing w:after="200" w:before="0" w:line="276" w:lineRule="auto"/>
        <w:jc w:val="right"/>
      </w:pPr>
      <w:r>
        <w:rPr>
          <w:rFonts w:ascii="Times New Roman" w:hAnsi="Times New Roman"/>
          <w:b w:val="0"/>
          <w:i w:val="0"/>
          <w:color w:val="000000"/>
          <w:sz w:val="20"/>
        </w:rPr>
        <w:t>CredLock: Zero-Knowledge Decentralized Identity Engine</w:t>
      </w:r>
    </w:p>
    <w:p>
      <w:pPr>
        <w:spacing w:after="80" w:before="0" w:line="276" w:lineRule="auto"/>
        <w:jc w:val="both"/>
      </w:pPr>
      <w:r>
        <w:rPr>
          <w:rFonts w:ascii="Times New Roman" w:hAnsi="Times New Roman"/>
          <w:b/>
          <w:i w:val="0"/>
          <w:color w:val="000000"/>
          <w:sz w:val="22"/>
        </w:rPr>
        <w:t>5.1.3 8-Leaf Poseidon Merkle State Membership Proof</w:t>
      </w:r>
    </w:p>
    <w:p>
      <w:pPr>
        <w:spacing w:after="80"/>
        <w:jc w:val="center"/>
      </w:pPr>
      <w:r>
        <w:drawing>
          <wp:inline xmlns:a="http://schemas.openxmlformats.org/drawingml/2006/main" xmlns:pic="http://schemas.openxmlformats.org/drawingml/2006/picture">
            <wp:extent cx="5029200" cy="2828925"/>
            <wp:docPr id="6" name="Picture 6"/>
            <wp:cNvGraphicFramePr>
              <a:graphicFrameLocks noChangeAspect="1"/>
            </wp:cNvGraphicFramePr>
            <a:graphic>
              <a:graphicData uri="http://schemas.openxmlformats.org/drawingml/2006/picture">
                <pic:pic>
                  <pic:nvPicPr>
                    <pic:cNvPr id="0" name="fig_5_1_3_merkle_state.png"/>
                    <pic:cNvPicPr/>
                  </pic:nvPicPr>
                  <pic:blipFill>
                    <a:blip r:embed="rId14"/>
                    <a:stretch>
                      <a:fillRect/>
                    </a:stretch>
                  </pic:blipFill>
                  <pic:spPr>
                    <a:xfrm>
                      <a:off x="0" y="0"/>
                      <a:ext cx="5029200" cy="2828925"/>
                    </a:xfrm>
                    <a:prstGeom prst="rect"/>
                  </pic:spPr>
                </pic:pic>
              </a:graphicData>
            </a:graphic>
          </wp:inline>
        </w:drawing>
      </w:r>
    </w:p>
    <w:p>
      <w:pPr>
        <w:spacing w:after="160" w:before="0" w:line="276" w:lineRule="auto"/>
        <w:jc w:val="center"/>
      </w:pPr>
      <w:r>
        <w:rPr>
          <w:rFonts w:ascii="Times New Roman" w:hAnsi="Times New Roman"/>
          <w:b/>
          <w:i w:val="0"/>
          <w:color w:val="000000"/>
          <w:sz w:val="21"/>
        </w:rPr>
        <w:t>Figure 5.1.3: 8-Leaf Poseidon Merkle State Membership Proof</w:t>
      </w:r>
    </w:p>
    <w:p>
      <w:pPr>
        <w:spacing w:after="400" w:before="0" w:line="324" w:lineRule="auto"/>
        <w:jc w:val="both"/>
      </w:pPr>
      <w:r>
        <w:rPr>
          <w:rFonts w:ascii="Times New Roman" w:hAnsi="Times New Roman"/>
          <w:b w:val="0"/>
          <w:i w:val="0"/>
          <w:color w:val="000000"/>
          <w:sz w:val="22"/>
        </w:rPr>
        <w:t>Step 3 displays the 3D 8-Leaf Poseidon Merkle State Tree at center stage. Prover Viswa asserts membership over active State Root 0x29034ab6... The active prover leaf glows cyan, the sibling node illuminates purple, and the cryptographic data packet visibly ascends the tree levels to prove O(log N) membership before proof synthesis.</w:t>
      </w:r>
    </w:p>
    <w:p>
      <w:pPr>
        <w:spacing w:after="80" w:before="0" w:line="276" w:lineRule="auto"/>
        <w:jc w:val="center"/>
      </w:pPr>
      <w:r>
        <w:rPr>
          <w:rFonts w:ascii="Times New Roman" w:hAnsi="Times New Roman"/>
          <w:b w:val="0"/>
          <w:i w:val="0"/>
          <w:color w:val="000000"/>
          <w:sz w:val="20"/>
        </w:rPr>
        <w:t>Pillai HOC College of Engineering and Technology (Autonomous), Rasayani                 13</w:t>
      </w:r>
    </w:p>
    <w:p>
      <w:r>
        <w:br w:type="page"/>
      </w:r>
    </w:p>
    <w:p>
      <w:pPr>
        <w:spacing w:after="200" w:before="0" w:line="276" w:lineRule="auto"/>
        <w:jc w:val="right"/>
      </w:pPr>
      <w:r>
        <w:rPr>
          <w:rFonts w:ascii="Times New Roman" w:hAnsi="Times New Roman"/>
          <w:b w:val="0"/>
          <w:i w:val="0"/>
          <w:color w:val="000000"/>
          <w:sz w:val="20"/>
        </w:rPr>
        <w:t>CredLock: Zero-Knowledge Decentralized Identity Engine</w:t>
      </w:r>
    </w:p>
    <w:p>
      <w:pPr>
        <w:spacing w:after="80" w:before="0" w:line="276" w:lineRule="auto"/>
        <w:jc w:val="both"/>
      </w:pPr>
      <w:r>
        <w:rPr>
          <w:rFonts w:ascii="Times New Roman" w:hAnsi="Times New Roman"/>
          <w:b/>
          <w:i w:val="0"/>
          <w:color w:val="000000"/>
          <w:sz w:val="22"/>
        </w:rPr>
        <w:t>5.1.4 On-Chain Verification &amp; Deterministic Nullifier Replay Defense</w:t>
      </w:r>
    </w:p>
    <w:p>
      <w:pPr>
        <w:spacing w:after="80"/>
        <w:jc w:val="center"/>
      </w:pPr>
      <w:r>
        <w:drawing>
          <wp:inline xmlns:a="http://schemas.openxmlformats.org/drawingml/2006/main" xmlns:pic="http://schemas.openxmlformats.org/drawingml/2006/picture">
            <wp:extent cx="5029200" cy="2828925"/>
            <wp:docPr id="7" name="Picture 7"/>
            <wp:cNvGraphicFramePr>
              <a:graphicFrameLocks noChangeAspect="1"/>
            </wp:cNvGraphicFramePr>
            <a:graphic>
              <a:graphicData uri="http://schemas.openxmlformats.org/drawingml/2006/picture">
                <pic:pic>
                  <pic:nvPicPr>
                    <pic:cNvPr id="0" name="fig_5_1_6_replay_rejected.png"/>
                    <pic:cNvPicPr/>
                  </pic:nvPicPr>
                  <pic:blipFill>
                    <a:blip r:embed="rId15"/>
                    <a:stretch>
                      <a:fillRect/>
                    </a:stretch>
                  </pic:blipFill>
                  <pic:spPr>
                    <a:xfrm>
                      <a:off x="0" y="0"/>
                      <a:ext cx="5029200" cy="2828925"/>
                    </a:xfrm>
                    <a:prstGeom prst="rect"/>
                  </pic:spPr>
                </pic:pic>
              </a:graphicData>
            </a:graphic>
          </wp:inline>
        </w:drawing>
      </w:r>
    </w:p>
    <w:p>
      <w:pPr>
        <w:spacing w:after="160" w:before="0" w:line="276" w:lineRule="auto"/>
        <w:jc w:val="center"/>
      </w:pPr>
      <w:r>
        <w:rPr>
          <w:rFonts w:ascii="Times New Roman" w:hAnsi="Times New Roman"/>
          <w:b/>
          <w:i w:val="0"/>
          <w:color w:val="000000"/>
          <w:sz w:val="21"/>
        </w:rPr>
        <w:t>Figure 5.1.4: On-Chain Verification &amp; Deterministic Nullifier Replay Defense</w:t>
      </w:r>
    </w:p>
    <w:p>
      <w:pPr>
        <w:spacing w:after="400" w:before="0" w:line="324" w:lineRule="auto"/>
        <w:jc w:val="both"/>
      </w:pPr>
      <w:r>
        <w:rPr>
          <w:rFonts w:ascii="Times New Roman" w:hAnsi="Times New Roman"/>
          <w:b w:val="0"/>
          <w:i w:val="0"/>
          <w:color w:val="000000"/>
          <w:sz w:val="22"/>
        </w:rPr>
        <w:t>Step 4 displays on-chain verification and anti-replay testing. Proof π is verified in 3.12 ms consuming 215,380 gas via EVM precompile 0x08. When the evaluator clicks “Test Replay Attack”, the smart contract detects that the deterministic nullifier has already been recorded, immediately reverting with ERR_NULLIFIER_ALREADY_SPENT (Gas: 35,400), proving contract state persistence.</w:t>
      </w:r>
    </w:p>
    <w:p>
      <w:pPr>
        <w:spacing w:after="80" w:before="0" w:line="276" w:lineRule="auto"/>
        <w:jc w:val="center"/>
      </w:pPr>
      <w:r>
        <w:rPr>
          <w:rFonts w:ascii="Times New Roman" w:hAnsi="Times New Roman"/>
          <w:b w:val="0"/>
          <w:i w:val="0"/>
          <w:color w:val="000000"/>
          <w:sz w:val="20"/>
        </w:rPr>
        <w:t>Pillai HOC College of Engineering and Technology (Autonomous), Rasayani                 14</w:t>
      </w:r>
    </w:p>
    <w:p>
      <w:r>
        <w:br w:type="page"/>
      </w:r>
    </w:p>
    <w:p>
      <w:pPr>
        <w:spacing w:after="2400" w:before="0" w:line="276" w:lineRule="auto"/>
        <w:jc w:val="right"/>
      </w:pPr>
      <w:r>
        <w:rPr>
          <w:rFonts w:ascii="Times New Roman" w:hAnsi="Times New Roman"/>
          <w:b w:val="0"/>
          <w:i w:val="0"/>
          <w:color w:val="000000"/>
          <w:sz w:val="20"/>
        </w:rPr>
        <w:t>CredLock: Zero-Knowledge Decentralized Identity Engine</w:t>
      </w:r>
    </w:p>
    <w:p>
      <w:pPr>
        <w:spacing w:after="160" w:before="0" w:line="276" w:lineRule="auto"/>
        <w:jc w:val="center"/>
      </w:pPr>
      <w:r>
        <w:rPr>
          <w:rFonts w:ascii="Times New Roman" w:hAnsi="Times New Roman"/>
          <w:b/>
          <w:i w:val="0"/>
          <w:color w:val="000000"/>
          <w:sz w:val="44"/>
        </w:rPr>
        <w:t>Chapter 6</w:t>
      </w:r>
    </w:p>
    <w:p>
      <w:pPr>
        <w:spacing w:after="3000" w:before="0" w:line="276" w:lineRule="auto"/>
        <w:jc w:val="center"/>
      </w:pPr>
      <w:r>
        <w:rPr>
          <w:rFonts w:ascii="Times New Roman" w:hAnsi="Times New Roman"/>
          <w:b/>
          <w:i w:val="0"/>
          <w:color w:val="000000"/>
          <w:sz w:val="44"/>
        </w:rPr>
        <w:t>Conclusion</w:t>
      </w:r>
    </w:p>
    <w:p>
      <w:pPr>
        <w:spacing w:after="80" w:before="0" w:line="276" w:lineRule="auto"/>
        <w:jc w:val="center"/>
      </w:pPr>
      <w:r>
        <w:rPr>
          <w:rFonts w:ascii="Times New Roman" w:hAnsi="Times New Roman"/>
          <w:b w:val="0"/>
          <w:i w:val="0"/>
          <w:color w:val="000000"/>
          <w:sz w:val="20"/>
        </w:rPr>
        <w:t>Pillai HOC College of Engineering and Technology (Autonomous), Rasayani                 15</w:t>
      </w:r>
    </w:p>
    <w:p>
      <w:r>
        <w:br w:type="page"/>
      </w:r>
    </w:p>
    <w:p>
      <w:pPr>
        <w:spacing w:after="200" w:before="0" w:line="276" w:lineRule="auto"/>
        <w:jc w:val="right"/>
      </w:pPr>
      <w:r>
        <w:rPr>
          <w:rFonts w:ascii="Times New Roman" w:hAnsi="Times New Roman"/>
          <w:b w:val="0"/>
          <w:i w:val="0"/>
          <w:color w:val="000000"/>
          <w:sz w:val="20"/>
        </w:rPr>
        <w:t>CredLock: Zero-Knowledge Decentralized Identity Engine</w:t>
      </w:r>
    </w:p>
    <w:p>
      <w:pPr>
        <w:spacing w:after="160" w:before="0" w:line="276" w:lineRule="auto"/>
        <w:jc w:val="both"/>
      </w:pPr>
      <w:r>
        <w:rPr>
          <w:rFonts w:ascii="Times New Roman" w:hAnsi="Times New Roman"/>
          <w:b/>
          <w:i w:val="0"/>
          <w:color w:val="000000"/>
          <w:sz w:val="28"/>
        </w:rPr>
        <w:t>Conclusion</w:t>
      </w:r>
    </w:p>
    <w:p>
      <w:pPr>
        <w:spacing w:after="160" w:before="0" w:line="324" w:lineRule="auto"/>
        <w:jc w:val="both"/>
      </w:pPr>
      <w:r>
        <w:rPr>
          <w:rFonts w:ascii="Times New Roman" w:hAnsi="Times New Roman"/>
          <w:b w:val="0"/>
          <w:i w:val="0"/>
          <w:color w:val="000000"/>
          <w:sz w:val="22"/>
        </w:rPr>
        <w:t>CredLock establishes a robust, mathematically sound zero-knowledge decentralized identity framework for modern blockchain ecosystems. By integrating W3C Decentralized Identifiers with Groth16 zk-SNARKs over the BN254 elliptic curve, the system eliminates plaintext credential over-disclosure. Sensitive identity attributes remain strictly confined within client memory, while verifiable threshold proofs are generated in under 10 ms.</w:t>
      </w:r>
    </w:p>
    <w:p>
      <w:pPr>
        <w:spacing w:after="160" w:before="0" w:line="324" w:lineRule="auto"/>
        <w:jc w:val="both"/>
      </w:pPr>
      <w:r>
        <w:rPr>
          <w:rFonts w:ascii="Times New Roman" w:hAnsi="Times New Roman"/>
          <w:b w:val="0"/>
          <w:i w:val="0"/>
          <w:color w:val="000000"/>
          <w:sz w:val="22"/>
        </w:rPr>
        <w:t>The adoption of algebraic Poseidon hashing reduces R1CS arithmetic constraint complexity by 98% compared to traditional SHA-256 implementations, enabling seamless execution on standard consumer web browsers. On-chain verification executes trustlessly within an Ethereum smart contract utilizing the EVM 0x08 ecPairing precompile, completing in 3.12 ms with a locked gas cost of 215,380 gas. Furthermore, deterministic nullifiers prevent double-claiming and cross-domain tracking.</w:t>
      </w:r>
    </w:p>
    <w:p>
      <w:pPr>
        <w:spacing w:after="600" w:before="0" w:line="324" w:lineRule="auto"/>
        <w:jc w:val="both"/>
      </w:pPr>
      <w:r>
        <w:rPr>
          <w:rFonts w:ascii="Times New Roman" w:hAnsi="Times New Roman"/>
          <w:b w:val="0"/>
          <w:i w:val="0"/>
          <w:color w:val="000000"/>
          <w:sz w:val="22"/>
        </w:rPr>
        <w:t>Future extensions of this work include integrating recursive proof aggregation (Halo2/PLONK) to verify hundreds of identity proofs in a single transaction, hardware Secure Enclave integration for biometric proof authorization, and institutional zero-knowledge KYC compliance for DeFi liquidity protocols.</w:t>
      </w:r>
    </w:p>
    <w:p>
      <w:pPr>
        <w:spacing w:after="80" w:before="0" w:line="276" w:lineRule="auto"/>
        <w:jc w:val="center"/>
      </w:pPr>
      <w:r>
        <w:rPr>
          <w:rFonts w:ascii="Times New Roman" w:hAnsi="Times New Roman"/>
          <w:b w:val="0"/>
          <w:i w:val="0"/>
          <w:color w:val="000000"/>
          <w:sz w:val="20"/>
        </w:rPr>
        <w:t>Pillai HOC College of Engineering and Technology (Autonomous), Rasayani                 16</w:t>
      </w:r>
    </w:p>
    <w:p>
      <w:r>
        <w:br w:type="page"/>
      </w:r>
    </w:p>
    <w:p>
      <w:pPr>
        <w:spacing w:after="200" w:before="0" w:line="276" w:lineRule="auto"/>
        <w:jc w:val="right"/>
      </w:pPr>
      <w:r>
        <w:rPr>
          <w:rFonts w:ascii="Times New Roman" w:hAnsi="Times New Roman"/>
          <w:b w:val="0"/>
          <w:i w:val="0"/>
          <w:color w:val="000000"/>
          <w:sz w:val="20"/>
        </w:rPr>
        <w:t>CredLock: Zero-Knowledge Decentralized Identity Engine</w:t>
      </w:r>
    </w:p>
    <w:p>
      <w:pPr>
        <w:spacing w:after="160" w:before="0" w:line="276" w:lineRule="auto"/>
        <w:jc w:val="both"/>
      </w:pPr>
      <w:r>
        <w:rPr>
          <w:rFonts w:ascii="Times New Roman" w:hAnsi="Times New Roman"/>
          <w:b/>
          <w:i w:val="0"/>
          <w:color w:val="000000"/>
          <w:sz w:val="28"/>
        </w:rPr>
        <w:t>References</w:t>
      </w:r>
    </w:p>
    <w:p>
      <w:pPr>
        <w:spacing w:after="120" w:before="0" w:line="312" w:lineRule="auto"/>
        <w:jc w:val="both"/>
      </w:pPr>
      <w:r>
        <w:rPr>
          <w:rFonts w:ascii="Times New Roman" w:hAnsi="Times New Roman"/>
          <w:b w:val="0"/>
          <w:i w:val="0"/>
          <w:color w:val="000000"/>
          <w:sz w:val="21"/>
        </w:rPr>
        <w:t>[1] J. Groth, “On the Size of Pairing-Based Non-interactive Arguments,” in Advances in Cryptology – EUROCRYPT 2016, Lecture Notes in Computer Science, vol. 9666, Springer, pp. 305–326, 2016.</w:t>
      </w:r>
    </w:p>
    <w:p>
      <w:pPr>
        <w:spacing w:after="120" w:before="0" w:line="312" w:lineRule="auto"/>
        <w:jc w:val="both"/>
      </w:pPr>
      <w:r>
        <w:rPr>
          <w:rFonts w:ascii="Times New Roman" w:hAnsi="Times New Roman"/>
          <w:b w:val="0"/>
          <w:i w:val="0"/>
          <w:color w:val="000000"/>
          <w:sz w:val="21"/>
        </w:rPr>
        <w:t>[2] L. Grassi, R. Lüftenegger, C. Rechberger, D. Rotaru, and M. Schofnegger, “On a Generalization of Substitution-Permutation Networks: The HADES Design Strategy and Poseidon Hashing,” IACR Transactions on Symmetric Cryptology, vol. 2020, no. 2, pp. 248–288, 2020.</w:t>
      </w:r>
    </w:p>
    <w:p>
      <w:pPr>
        <w:spacing w:after="120" w:before="0" w:line="312" w:lineRule="auto"/>
        <w:jc w:val="both"/>
      </w:pPr>
      <w:r>
        <w:rPr>
          <w:rFonts w:ascii="Times New Roman" w:hAnsi="Times New Roman"/>
          <w:b w:val="0"/>
          <w:i w:val="0"/>
          <w:color w:val="000000"/>
          <w:sz w:val="21"/>
        </w:rPr>
        <w:t>[3] Vitalik Buterin and Christian Reitwiessner, “EIP-197: Precompiled contracts for optimal ate pairing check on the alt_bn128 curve,” Ethereum Improvement Proposals, no. 197, 2017.</w:t>
      </w:r>
    </w:p>
    <w:p>
      <w:pPr>
        <w:spacing w:after="120" w:before="0" w:line="312" w:lineRule="auto"/>
        <w:jc w:val="both"/>
      </w:pPr>
      <w:r>
        <w:rPr>
          <w:rFonts w:ascii="Times New Roman" w:hAnsi="Times New Roman"/>
          <w:b w:val="0"/>
          <w:i w:val="0"/>
          <w:color w:val="000000"/>
          <w:sz w:val="21"/>
        </w:rPr>
        <w:t>[4] M. Sporny, D. Longley, and M. Chadwick, “Decentralized Identifiers (DIDs) v1.0: Core architecture, data model, and representations,” W3C Recommendation, 2022. Available: https://www.w3.org/TR/did-core/</w:t>
      </w:r>
    </w:p>
    <w:p>
      <w:pPr>
        <w:spacing w:after="120" w:before="0" w:line="312" w:lineRule="auto"/>
        <w:jc w:val="both"/>
      </w:pPr>
      <w:r>
        <w:rPr>
          <w:rFonts w:ascii="Times New Roman" w:hAnsi="Times New Roman"/>
          <w:b w:val="0"/>
          <w:i w:val="0"/>
          <w:color w:val="000000"/>
          <w:sz w:val="21"/>
        </w:rPr>
        <w:t>[5] E. Ben-Sasson, A. Chiesa, E. Tromer, and M. Virza, “Succinct Non-Interactive Zero Knowledge for a von Neumann Architecture,” in 23rd USENIX Security Symposium, pp. 781–796, 2014.</w:t>
      </w:r>
    </w:p>
    <w:p>
      <w:pPr>
        <w:spacing w:after="120" w:before="0" w:line="312" w:lineRule="auto"/>
        <w:jc w:val="both"/>
      </w:pPr>
      <w:r>
        <w:rPr>
          <w:rFonts w:ascii="Times New Roman" w:hAnsi="Times New Roman"/>
          <w:b w:val="0"/>
          <w:i w:val="0"/>
          <w:color w:val="000000"/>
          <w:sz w:val="21"/>
        </w:rPr>
        <w:t>[6] Gavin Wood, “Ethereum: A Secure Decentralised Generalised Transaction Ledger (Yellow Paper),” Ethereum Project Yellow Paper, 2014.</w:t>
      </w:r>
    </w:p>
    <w:p>
      <w:pPr>
        <w:spacing w:after="120" w:before="0" w:line="312" w:lineRule="auto"/>
        <w:jc w:val="both"/>
      </w:pPr>
      <w:r>
        <w:rPr>
          <w:rFonts w:ascii="Times New Roman" w:hAnsi="Times New Roman"/>
          <w:b w:val="0"/>
          <w:i w:val="0"/>
          <w:color w:val="000000"/>
          <w:sz w:val="21"/>
        </w:rPr>
        <w:t>[7] Circom 2.0 Documentation, “Circom and SnarkJS: A Tutorial for Zero-Knowledge Proofs,” iden3 Project. Available: https://docs.circom.io/</w:t>
      </w:r>
    </w:p>
    <w:p>
      <w:pPr>
        <w:spacing w:after="120" w:before="0" w:line="312" w:lineRule="auto"/>
        <w:jc w:val="both"/>
      </w:pPr>
      <w:r>
        <w:rPr>
          <w:rFonts w:ascii="Times New Roman" w:hAnsi="Times New Roman"/>
          <w:b w:val="0"/>
          <w:i w:val="0"/>
          <w:color w:val="000000"/>
          <w:sz w:val="21"/>
        </w:rPr>
        <w:t>[8] Ethereum Foundation, “EVM Precompiled Contracts Specification,” Available: https://ethereum.org/en/developers/docs/evm/</w:t>
      </w:r>
    </w:p>
    <w:p>
      <w:pPr>
        <w:spacing w:after="80" w:before="400" w:line="276" w:lineRule="auto"/>
        <w:jc w:val="center"/>
      </w:pPr>
      <w:r>
        <w:rPr>
          <w:rFonts w:ascii="Times New Roman" w:hAnsi="Times New Roman"/>
          <w:b w:val="0"/>
          <w:i w:val="0"/>
          <w:color w:val="000000"/>
          <w:sz w:val="20"/>
        </w:rPr>
        <w:t>Pillai HOC College of Engineering and Technology (Autonomous), Rasayani                 17</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