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95959"/>
          <w:spacing w:val="80"/>
          <w:sz w:val="28"/>
          <w:szCs w:val="28"/>
        </w:rPr>
        <w:t xml:space="preserve">INFORME TÉCNICO</w:t>
      </w:r>
    </w:p>
    <w:p>
      <w:pPr>
        <w:spacing w:after="160"/>
        <w:jc w:val="center"/>
      </w:pPr>
      <w:r>
        <w:rPr>
          <w:rFonts w:ascii="Calibri" w:cs="Calibri" w:eastAsia="Calibri" w:hAnsi="Calibri"/>
          <w:b/>
          <w:bCs/>
          <w:color w:val="1F4E79"/>
          <w:sz w:val="72"/>
          <w:szCs w:val="72"/>
        </w:rPr>
        <w:t xml:space="preserve">Wasnie</w:t>
      </w:r>
    </w:p>
    <w:p>
      <w:pPr>
        <w:spacing w:after="800"/>
        <w:jc w:val="center"/>
      </w:pPr>
      <w:r>
        <w:rPr>
          <w:rFonts w:ascii="Calibri" w:cs="Calibri" w:eastAsia="Calibri" w:hAnsi="Calibri"/>
          <w:i/>
          <w:iCs/>
          <w:color w:val="2E75B6"/>
          <w:sz w:val="28"/>
          <w:szCs w:val="28"/>
        </w:rPr>
        <w:t xml:space="preserve">Diseño de una plataforma moderna de Sales Performance Management</w:t>
      </w:r>
    </w:p>
    <w:p>
      <w:pPr>
        <w:spacing w:after="200"/>
        <w:jc w:val="center"/>
      </w:pPr>
      <w:r>
        <w:rPr>
          <w:rFonts w:ascii="Calibri" w:cs="Calibri" w:eastAsia="Calibri" w:hAnsi="Calibri"/>
          <w:color w:val="595959"/>
          <w:sz w:val="22"/>
          <w:szCs w:val="22"/>
        </w:rPr>
        <w:t xml:space="preserve">Análisis del mercado SPM, principales problemas de los sistemas actuales</w:t>
      </w:r>
    </w:p>
    <w:p>
      <w:pPr>
        <w:spacing w:after="2400"/>
        <w:jc w:val="center"/>
      </w:pPr>
      <w:r>
        <w:rPr>
          <w:rFonts w:ascii="Calibri" w:cs="Calibri" w:eastAsia="Calibri" w:hAnsi="Calibri"/>
          <w:color w:val="595959"/>
          <w:sz w:val="22"/>
          <w:szCs w:val="22"/>
        </w:rPr>
        <w:t xml:space="preserve">y oportunidades arquitectónicas para una nueva generación de plataformas</w:t>
      </w:r>
    </w:p>
    <w:p>
      <w:pPr>
        <w:spacing w:after="120"/>
        <w:jc w:val="center"/>
      </w:pPr>
      <w:r>
        <w:rPr>
          <w:rFonts w:ascii="Calibri" w:cs="Calibri" w:eastAsia="Calibri" w:hAnsi="Calibri"/>
          <w:b/>
          <w:bCs/>
          <w:sz w:val="24"/>
          <w:szCs w:val="24"/>
        </w:rPr>
        <w:t xml:space="preserve">Rodolfo A. Calvo Jaubert</w:t>
      </w:r>
    </w:p>
    <w:p>
      <w:pPr>
        <w:spacing w:after="80"/>
        <w:jc w:val="center"/>
      </w:pPr>
      <w:r>
        <w:rPr>
          <w:rFonts w:ascii="Calibri" w:cs="Calibri" w:eastAsia="Calibri" w:hAnsi="Calibri"/>
          <w:color w:val="595959"/>
          <w:sz w:val="22"/>
          <w:szCs w:val="22"/>
        </w:rPr>
        <w:t xml:space="preserve">Katowice, Polonia</w:t>
      </w:r>
    </w:p>
    <w:p>
      <w:pPr>
        <w:spacing w:after="0"/>
        <w:jc w:val="center"/>
      </w:pPr>
      <w:r>
        <w:rPr>
          <w:rFonts w:ascii="Calibri" w:cs="Calibri" w:eastAsia="Calibri" w:hAnsi="Calibri"/>
          <w:color w:val="595959"/>
          <w:sz w:val="22"/>
          <w:szCs w:val="22"/>
        </w:rPr>
        <w:t xml:space="preserve">Mayo de 2026</w:t>
      </w:r>
    </w:p>
    <w:p>
      <w:r>
        <w:br w:type="page"/>
      </w:r>
    </w:p>
    <w:p>
      <w:pPr>
        <w:pStyle w:val="Heading1"/>
        <w:spacing w:after="200" w:before="360"/>
      </w:pPr>
      <w:r>
        <w:rPr>
          <w:rFonts w:ascii="Calibri" w:cs="Calibri" w:eastAsia="Calibri" w:hAnsi="Calibri"/>
          <w:b/>
          <w:bCs/>
          <w:color w:val="1F4E79"/>
          <w:sz w:val="32"/>
          <w:szCs w:val="32"/>
        </w:rPr>
        <w:t xml:space="preserve">1. Resumen ejecutivo</w:t>
      </w:r>
    </w:p>
    <w:p>
      <w:pPr>
        <w:spacing w:after="140" w:line="320"/>
        <w:jc w:val="both"/>
      </w:pPr>
      <w:r>
        <w:rPr>
          <w:rFonts w:ascii="Calibri" w:cs="Calibri" w:eastAsia="Calibri" w:hAnsi="Calibri"/>
          <w:sz w:val="22"/>
          <w:szCs w:val="22"/>
        </w:rPr>
        <w:t xml:space="preserve">El mercado de Sales Performance Management (SPM), que engloba la gestión de compensación por incentivos, planificación de territorios y gestión de cuotas, supera los 3.500 millones de dólares anuales y continúa creciendo a medida que la automatización se vuelve estándar. A pesar de su madurez aparente, los sistemas dominantes del sector (Xactly Incent, Varicent, SAP Commissions, CaptivateIQ, Performio, Anaplan) presentan deficiencias estructurales severas: ciclos de implementación de seis a dieciocho meses, costes totales de propiedad que superan los doscientos mil dólares anuales para clientes medianos, dependencia obligatoria de consultoras externas y rigidez frente a cambios frecuentes en los planes de comisiones.</w:t>
      </w:r>
    </w:p>
    <w:p>
      <w:pPr>
        <w:spacing w:after="140" w:line="320"/>
        <w:jc w:val="both"/>
      </w:pPr>
      <w:r>
        <w:rPr>
          <w:rFonts w:ascii="Calibri" w:cs="Calibri" w:eastAsia="Calibri" w:hAnsi="Calibri"/>
          <w:sz w:val="22"/>
          <w:szCs w:val="22"/>
        </w:rPr>
        <w:t xml:space="preserve">Wasnie es una iniciativa de diseño y construcción de una plataforma SPM moderna, multi-tenant, basada en una arquitectura limpia (Clean Architecture) sobre ASP.NET Core .NET 8 y SQL Server, con frontend en Angular 20. El producto está concebido para competir frontalmente en funcionalidad con los líderes del mercado, eliminando al mismo tiempo las fricciones que sus usuarios reportan de forma sistemática: tiempo de configuración elevado, opacidad en los cálculos, ausencia de visibilidad en tiempo real para el representante de ventas, dependencia de administradores especializados y resolución manual de disputas.</w:t>
      </w:r>
    </w:p>
    <w:p>
      <w:pPr>
        <w:spacing w:after="140" w:line="320"/>
        <w:jc w:val="both"/>
      </w:pPr>
      <w:r>
        <w:rPr>
          <w:rFonts w:ascii="Calibri" w:cs="Calibri" w:eastAsia="Calibri" w:hAnsi="Calibri"/>
          <w:sz w:val="22"/>
          <w:szCs w:val="22"/>
        </w:rPr>
        <w:t xml:space="preserve">Este documento describe cómo funcionan los sistemas SPM actuales, identifica los problemas estructurales que comparten todos los actores establecidos, y formula los principios arquitectónicos y de producto que Wasnie aplicará para resolverlos.</w:t>
      </w:r>
    </w:p>
    <w:p>
      <w:pPr>
        <w:pStyle w:val="Heading1"/>
        <w:spacing w:after="200" w:before="360"/>
      </w:pPr>
      <w:r>
        <w:rPr>
          <w:rFonts w:ascii="Calibri" w:cs="Calibri" w:eastAsia="Calibri" w:hAnsi="Calibri"/>
          <w:b/>
          <w:bCs/>
          <w:color w:val="1F4E79"/>
          <w:sz w:val="32"/>
          <w:szCs w:val="32"/>
        </w:rPr>
        <w:t xml:space="preserve">2. Qué es Sales Performance Management</w:t>
      </w:r>
    </w:p>
    <w:p>
      <w:pPr>
        <w:spacing w:after="140" w:line="320"/>
        <w:jc w:val="both"/>
      </w:pPr>
      <w:r>
        <w:rPr>
          <w:rFonts w:ascii="Calibri" w:cs="Calibri" w:eastAsia="Calibri" w:hAnsi="Calibri"/>
          <w:sz w:val="22"/>
          <w:szCs w:val="22"/>
        </w:rPr>
        <w:t xml:space="preserve">Sales Performance Management es la categoría de software empresarial responsable de administrar, calcular y comunicar las compensaciones variables de los equipos de ventas, así como las estructuras que las soportan: territorios, cuotas, jerarquías y planes de incentivos. En organizaciones con equipos comerciales superiores a quince personas, la gestión manual mediante hojas de cálculo se vuelve inviable: los errores de cálculo, las disputas y la pérdida de confianza erosionan la motivación de los representantes y el control financiero.</w:t>
      </w:r>
    </w:p>
    <w:p>
      <w:pPr>
        <w:pStyle w:val="Heading2"/>
        <w:spacing w:after="160" w:before="280"/>
      </w:pPr>
      <w:r>
        <w:rPr>
          <w:rFonts w:ascii="Calibri" w:cs="Calibri" w:eastAsia="Calibri" w:hAnsi="Calibri"/>
          <w:b/>
          <w:bCs/>
          <w:color w:val="1F4E79"/>
          <w:sz w:val="26"/>
          <w:szCs w:val="26"/>
        </w:rPr>
        <w:t xml:space="preserve">2.1 Componentes funcionales de un sistema SPM</w:t>
      </w:r>
    </w:p>
    <w:p>
      <w:pPr>
        <w:spacing w:after="140" w:line="320"/>
        <w:jc w:val="both"/>
      </w:pPr>
      <w:r>
        <w:rPr>
          <w:rFonts w:ascii="Calibri" w:cs="Calibri" w:eastAsia="Calibri" w:hAnsi="Calibri"/>
          <w:sz w:val="22"/>
          <w:szCs w:val="22"/>
        </w:rPr>
        <w:t xml:space="preserve">Una plataforma SPM completa cubre los siguientes módulos:</w:t>
      </w:r>
    </w:p>
    <w:p>
      <w:pPr>
        <w:pStyle w:val="ListParagraph"/>
        <w:numPr>
          <w:ilvl w:val="0"/>
          <w:numId w:val="2"/>
        </w:numPr>
        <w:spacing w:after="80" w:line="300"/>
      </w:pPr>
      <w:r>
        <w:rPr>
          <w:rFonts w:ascii="Calibri" w:cs="Calibri" w:eastAsia="Calibri" w:hAnsi="Calibri"/>
          <w:b/>
          <w:bCs/>
          <w:sz w:val="22"/>
          <w:szCs w:val="22"/>
        </w:rPr>
        <w:t xml:space="preserve">Plan Designer: </w:t>
      </w:r>
      <w:r>
        <w:rPr>
          <w:rFonts w:ascii="Calibri" w:cs="Calibri" w:eastAsia="Calibri" w:hAnsi="Calibri"/>
          <w:sz w:val="22"/>
          <w:szCs w:val="22"/>
        </w:rPr>
        <w:t xml:space="preserve">interfaz para definir planes de compensación con reglas, tasas, aceleradores, multiplicadores, topes y pisos.</w:t>
      </w:r>
    </w:p>
    <w:p>
      <w:pPr>
        <w:pStyle w:val="ListParagraph"/>
        <w:numPr>
          <w:ilvl w:val="0"/>
          <w:numId w:val="2"/>
        </w:numPr>
        <w:spacing w:after="80" w:line="300"/>
      </w:pPr>
      <w:r>
        <w:rPr>
          <w:rFonts w:ascii="Calibri" w:cs="Calibri" w:eastAsia="Calibri" w:hAnsi="Calibri"/>
          <w:b/>
          <w:bCs/>
          <w:sz w:val="22"/>
          <w:szCs w:val="22"/>
        </w:rPr>
        <w:t xml:space="preserve">Calculation Engine: </w:t>
      </w:r>
      <w:r>
        <w:rPr>
          <w:rFonts w:ascii="Calibri" w:cs="Calibri" w:eastAsia="Calibri" w:hAnsi="Calibri"/>
          <w:sz w:val="22"/>
          <w:szCs w:val="22"/>
        </w:rPr>
        <w:t xml:space="preserve">motor que procesa transacciones y aplica las reglas de cada plan para producir registros de pago auditables.</w:t>
      </w:r>
    </w:p>
    <w:p>
      <w:pPr>
        <w:pStyle w:val="ListParagraph"/>
        <w:numPr>
          <w:ilvl w:val="0"/>
          <w:numId w:val="2"/>
        </w:numPr>
        <w:spacing w:after="80" w:line="300"/>
      </w:pPr>
      <w:r>
        <w:rPr>
          <w:rFonts w:ascii="Calibri" w:cs="Calibri" w:eastAsia="Calibri" w:hAnsi="Calibri"/>
          <w:b/>
          <w:bCs/>
          <w:sz w:val="22"/>
          <w:szCs w:val="22"/>
        </w:rPr>
        <w:t xml:space="preserve">Territory &amp; Quota Management: </w:t>
      </w:r>
      <w:r>
        <w:rPr>
          <w:rFonts w:ascii="Calibri" w:cs="Calibri" w:eastAsia="Calibri" w:hAnsi="Calibri"/>
          <w:sz w:val="22"/>
          <w:szCs w:val="22"/>
        </w:rPr>
        <w:t xml:space="preserve">asignación geográfica o de cuenta y definición de metas por representante, equipo o período.</w:t>
      </w:r>
    </w:p>
    <w:p>
      <w:pPr>
        <w:pStyle w:val="ListParagraph"/>
        <w:numPr>
          <w:ilvl w:val="0"/>
          <w:numId w:val="2"/>
        </w:numPr>
        <w:spacing w:after="80" w:line="300"/>
      </w:pPr>
      <w:r>
        <w:rPr>
          <w:rFonts w:ascii="Calibri" w:cs="Calibri" w:eastAsia="Calibri" w:hAnsi="Calibri"/>
          <w:b/>
          <w:bCs/>
          <w:sz w:val="22"/>
          <w:szCs w:val="22"/>
        </w:rPr>
        <w:t xml:space="preserve">Transaction Management: </w:t>
      </w:r>
      <w:r>
        <w:rPr>
          <w:rFonts w:ascii="Calibri" w:cs="Calibri" w:eastAsia="Calibri" w:hAnsi="Calibri"/>
          <w:sz w:val="22"/>
          <w:szCs w:val="22"/>
        </w:rPr>
        <w:t xml:space="preserve">ingesta de operaciones desde sistemas CRM o ERP, validación, categorización y enriquecimiento.</w:t>
      </w:r>
    </w:p>
    <w:p>
      <w:pPr>
        <w:pStyle w:val="ListParagraph"/>
        <w:numPr>
          <w:ilvl w:val="0"/>
          <w:numId w:val="2"/>
        </w:numPr>
        <w:spacing w:after="80" w:line="300"/>
      </w:pPr>
      <w:r>
        <w:rPr>
          <w:rFonts w:ascii="Calibri" w:cs="Calibri" w:eastAsia="Calibri" w:hAnsi="Calibri"/>
          <w:b/>
          <w:bCs/>
          <w:sz w:val="22"/>
          <w:szCs w:val="22"/>
        </w:rPr>
        <w:t xml:space="preserve">Dispute Workflow: </w:t>
      </w:r>
      <w:r>
        <w:rPr>
          <w:rFonts w:ascii="Calibri" w:cs="Calibri" w:eastAsia="Calibri" w:hAnsi="Calibri"/>
          <w:sz w:val="22"/>
          <w:szCs w:val="22"/>
        </w:rPr>
        <w:t xml:space="preserve">flujo de reclamaciones del representante, revisión por el manager y ajuste contable.</w:t>
      </w:r>
    </w:p>
    <w:p>
      <w:pPr>
        <w:pStyle w:val="ListParagraph"/>
        <w:numPr>
          <w:ilvl w:val="0"/>
          <w:numId w:val="2"/>
        </w:numPr>
        <w:spacing w:after="80" w:line="300"/>
      </w:pPr>
      <w:r>
        <w:rPr>
          <w:rFonts w:ascii="Calibri" w:cs="Calibri" w:eastAsia="Calibri" w:hAnsi="Calibri"/>
          <w:b/>
          <w:bCs/>
          <w:sz w:val="22"/>
          <w:szCs w:val="22"/>
        </w:rPr>
        <w:t xml:space="preserve">Reporting &amp; Analytics: </w:t>
      </w:r>
      <w:r>
        <w:rPr>
          <w:rFonts w:ascii="Calibri" w:cs="Calibri" w:eastAsia="Calibri" w:hAnsi="Calibri"/>
          <w:sz w:val="22"/>
          <w:szCs w:val="22"/>
        </w:rPr>
        <w:t xml:space="preserve">paneles para representantes, managers y finanzas con métricas de attainment, payout y forecast.</w:t>
      </w:r>
    </w:p>
    <w:p>
      <w:pPr>
        <w:pStyle w:val="ListParagraph"/>
        <w:numPr>
          <w:ilvl w:val="0"/>
          <w:numId w:val="2"/>
        </w:numPr>
        <w:spacing w:after="80" w:line="300"/>
      </w:pPr>
      <w:r>
        <w:rPr>
          <w:rFonts w:ascii="Calibri" w:cs="Calibri" w:eastAsia="Calibri" w:hAnsi="Calibri"/>
          <w:b/>
          <w:bCs/>
          <w:sz w:val="22"/>
          <w:szCs w:val="22"/>
        </w:rPr>
        <w:t xml:space="preserve">Audit &amp; Compliance: </w:t>
      </w:r>
      <w:r>
        <w:rPr>
          <w:rFonts w:ascii="Calibri" w:cs="Calibri" w:eastAsia="Calibri" w:hAnsi="Calibri"/>
          <w:sz w:val="22"/>
          <w:szCs w:val="22"/>
        </w:rPr>
        <w:t xml:space="preserve">registro inmutable de cambios, cálculos y aprobaciones para cumplimiento SOX, GDPR y SOC 2.</w:t>
      </w:r>
    </w:p>
    <w:p>
      <w:pPr>
        <w:pStyle w:val="Heading2"/>
        <w:spacing w:after="160" w:before="280"/>
      </w:pPr>
      <w:r>
        <w:rPr>
          <w:rFonts w:ascii="Calibri" w:cs="Calibri" w:eastAsia="Calibri" w:hAnsi="Calibri"/>
          <w:b/>
          <w:bCs/>
          <w:color w:val="1F4E79"/>
          <w:sz w:val="26"/>
          <w:szCs w:val="26"/>
        </w:rPr>
        <w:t xml:space="preserve">2.2 Por qué importa: la magnitud del problema</w:t>
      </w:r>
    </w:p>
    <w:p>
      <w:pPr>
        <w:spacing w:after="140" w:line="320"/>
        <w:jc w:val="both"/>
      </w:pPr>
      <w:r>
        <w:rPr>
          <w:rFonts w:ascii="Calibri" w:cs="Calibri" w:eastAsia="Calibri" w:hAnsi="Calibri"/>
          <w:sz w:val="22"/>
          <w:szCs w:val="22"/>
        </w:rPr>
        <w:t xml:space="preserve">La criticidad de un sistema SPM se entiende mejor con datos del propio sector. Diversos estudios y reportes de la industria coinciden en una imagen 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Indicador</w:t>
            </w:r>
          </w:p>
        </w:tc>
        <w:tc>
          <w:tcPr>
            <w:tcW w:type="dxa" w:w="4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Magnitud reportada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Empresas que aún gestionan comisiones en hojas de cálculo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Aproximadamente el 70 %</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Compañías que fallan en pagar comisiones con exactitud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Cerca del 83 %</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Horas semanales por administrador dedicadas a cálculos y disputas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Promedio de 15 horas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Representantes con visibilidad en tiempo real de sus comisiones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Solamente el 52 %</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Representantes que abandonan la empresa por mala gestión de comisiones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Alrededor del 9 %</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Tamaño del mercado global SPM (2024)</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Superior a 3.500 millones de USD</w:t>
            </w:r>
          </w:p>
        </w:tc>
      </w:tr>
    </w:tbl>
    <w:p>
      <w:pPr>
        <w:spacing w:after="140" w:line="320"/>
        <w:jc w:val="both"/>
      </w:pPr>
      <w:r>
        <w:rPr>
          <w:rFonts w:ascii="Calibri" w:cs="Calibri" w:eastAsia="Calibri" w:hAnsi="Calibri"/>
          <w:sz w:val="22"/>
          <w:szCs w:val="22"/>
        </w:rPr>
        <w:t xml:space="preserve"> </w:t>
      </w:r>
    </w:p>
    <w:p>
      <w:pPr>
        <w:spacing w:after="140" w:line="320"/>
        <w:jc w:val="both"/>
      </w:pPr>
      <w:r>
        <w:rPr>
          <w:rFonts w:ascii="Calibri" w:cs="Calibri" w:eastAsia="Calibri" w:hAnsi="Calibri"/>
          <w:sz w:val="22"/>
          <w:szCs w:val="22"/>
        </w:rPr>
        <w:t xml:space="preserve">Estas cifras explican por qué el sector existe, por qué los incumbentes facturan cientos de millones anuales y, simultáneamente, por qué siguen apareciendo nuevos actores: el problema está lejos de estar resuelto.</w:t>
      </w:r>
    </w:p>
    <w:p>
      <w:r>
        <w:br w:type="page"/>
      </w:r>
    </w:p>
    <w:p>
      <w:pPr>
        <w:pStyle w:val="Heading1"/>
        <w:spacing w:after="200" w:before="360"/>
      </w:pPr>
      <w:r>
        <w:rPr>
          <w:rFonts w:ascii="Calibri" w:cs="Calibri" w:eastAsia="Calibri" w:hAnsi="Calibri"/>
          <w:b/>
          <w:bCs/>
          <w:color w:val="1F4E79"/>
          <w:sz w:val="32"/>
          <w:szCs w:val="32"/>
        </w:rPr>
        <w:t xml:space="preserve">3. Cómo funcionan los sistemas SPM actuales</w:t>
      </w:r>
    </w:p>
    <w:p>
      <w:pPr>
        <w:spacing w:after="140" w:line="320"/>
        <w:jc w:val="both"/>
      </w:pPr>
      <w:r>
        <w:rPr>
          <w:rFonts w:ascii="Calibri" w:cs="Calibri" w:eastAsia="Calibri" w:hAnsi="Calibri"/>
          <w:sz w:val="22"/>
          <w:szCs w:val="22"/>
        </w:rPr>
        <w:t xml:space="preserve">Aunque cada plataforma tiene su propia arquitectura, todas las soluciones empresariales del sector comparten un flujo de procesamiento conceptualmente equivalente. Entender ese flujo es prerrequisito para identificar los puntos donde un nuevo entrante puede diferenciarse.</w:t>
      </w:r>
    </w:p>
    <w:p>
      <w:pPr>
        <w:pStyle w:val="Heading2"/>
        <w:spacing w:after="160" w:before="280"/>
      </w:pPr>
      <w:r>
        <w:rPr>
          <w:rFonts w:ascii="Calibri" w:cs="Calibri" w:eastAsia="Calibri" w:hAnsi="Calibri"/>
          <w:b/>
          <w:bCs/>
          <w:color w:val="1F4E79"/>
          <w:sz w:val="26"/>
          <w:szCs w:val="26"/>
        </w:rPr>
        <w:t xml:space="preserve">3.1 Flujo de procesamiento típico</w:t>
      </w:r>
    </w:p>
    <w:p>
      <w:pPr>
        <w:spacing w:after="140" w:line="320"/>
        <w:jc w:val="both"/>
      </w:pPr>
      <w:r>
        <w:rPr>
          <w:rFonts w:ascii="Calibri" w:cs="Calibri" w:eastAsia="Calibri" w:hAnsi="Calibri"/>
          <w:sz w:val="22"/>
          <w:szCs w:val="22"/>
        </w:rPr>
        <w:t xml:space="preserve">El ciclo de vida de una comisión, desde que se cierra un trato hasta que el representante recibe el pago, atraviesa siete etapas:</w:t>
      </w:r>
    </w:p>
    <w:p>
      <w:pPr>
        <w:pStyle w:val="ListParagraph"/>
        <w:numPr>
          <w:ilvl w:val="0"/>
          <w:numId w:val="2"/>
        </w:numPr>
        <w:spacing w:after="80" w:line="300"/>
      </w:pPr>
      <w:r>
        <w:rPr>
          <w:rFonts w:ascii="Calibri" w:cs="Calibri" w:eastAsia="Calibri" w:hAnsi="Calibri"/>
          <w:b/>
          <w:bCs/>
          <w:sz w:val="22"/>
          <w:szCs w:val="22"/>
        </w:rPr>
        <w:t xml:space="preserve">Ingesta de datos: </w:t>
      </w:r>
      <w:r>
        <w:rPr>
          <w:rFonts w:ascii="Calibri" w:cs="Calibri" w:eastAsia="Calibri" w:hAnsi="Calibri"/>
          <w:sz w:val="22"/>
          <w:szCs w:val="22"/>
        </w:rPr>
        <w:t xml:space="preserve">el sistema importa transacciones desde el CRM (Salesforce, HubSpot, Dynamics) o el ERP (SAP, NetSuite, Oracle), normalmente mediante conectores nativos, APIs REST o cargas batch programadas.</w:t>
      </w:r>
    </w:p>
    <w:p>
      <w:pPr>
        <w:pStyle w:val="ListParagraph"/>
        <w:numPr>
          <w:ilvl w:val="0"/>
          <w:numId w:val="2"/>
        </w:numPr>
        <w:spacing w:after="80" w:line="300"/>
      </w:pPr>
      <w:r>
        <w:rPr>
          <w:rFonts w:ascii="Calibri" w:cs="Calibri" w:eastAsia="Calibri" w:hAnsi="Calibri"/>
          <w:b/>
          <w:bCs/>
          <w:sz w:val="22"/>
          <w:szCs w:val="22"/>
        </w:rPr>
        <w:t xml:space="preserve">Validación y enriquecimiento: </w:t>
      </w:r>
      <w:r>
        <w:rPr>
          <w:rFonts w:ascii="Calibri" w:cs="Calibri" w:eastAsia="Calibri" w:hAnsi="Calibri"/>
          <w:sz w:val="22"/>
          <w:szCs w:val="22"/>
        </w:rPr>
        <w:t xml:space="preserve">se aplican reglas de calidad de datos, se enriquecen las operaciones con atributos del producto, cliente o territorio, y se descartan o marcan transacciones inválidas.</w:t>
      </w:r>
    </w:p>
    <w:p>
      <w:pPr>
        <w:pStyle w:val="ListParagraph"/>
        <w:numPr>
          <w:ilvl w:val="0"/>
          <w:numId w:val="2"/>
        </w:numPr>
        <w:spacing w:after="80" w:line="300"/>
      </w:pPr>
      <w:r>
        <w:rPr>
          <w:rFonts w:ascii="Calibri" w:cs="Calibri" w:eastAsia="Calibri" w:hAnsi="Calibri"/>
          <w:b/>
          <w:bCs/>
          <w:sz w:val="22"/>
          <w:szCs w:val="22"/>
        </w:rPr>
        <w:t xml:space="preserve">Asignación al payee: </w:t>
      </w:r>
      <w:r>
        <w:rPr>
          <w:rFonts w:ascii="Calibri" w:cs="Calibri" w:eastAsia="Calibri" w:hAnsi="Calibri"/>
          <w:sz w:val="22"/>
          <w:szCs w:val="22"/>
        </w:rPr>
        <w:t xml:space="preserve">se determina quién cobra qué, considerando jerarquías de ventas, splits entre representantes, overlays y crédito atribuido por rol.</w:t>
      </w:r>
    </w:p>
    <w:p>
      <w:pPr>
        <w:pStyle w:val="ListParagraph"/>
        <w:numPr>
          <w:ilvl w:val="0"/>
          <w:numId w:val="2"/>
        </w:numPr>
        <w:spacing w:after="80" w:line="300"/>
      </w:pPr>
      <w:r>
        <w:rPr>
          <w:rFonts w:ascii="Calibri" w:cs="Calibri" w:eastAsia="Calibri" w:hAnsi="Calibri"/>
          <w:b/>
          <w:bCs/>
          <w:sz w:val="22"/>
          <w:szCs w:val="22"/>
        </w:rPr>
        <w:t xml:space="preserve">Aplicación de reglas del plan: </w:t>
      </w:r>
      <w:r>
        <w:rPr>
          <w:rFonts w:ascii="Calibri" w:cs="Calibri" w:eastAsia="Calibri" w:hAnsi="Calibri"/>
          <w:sz w:val="22"/>
          <w:szCs w:val="22"/>
        </w:rPr>
        <w:t xml:space="preserve">para cada transacción y payee, el motor evalúa qué reglas del plan aplican, calcula la base de comisión, aplica tasas, aceleradores, SPIFs, multiplicadores, topes y pisos.</w:t>
      </w:r>
    </w:p>
    <w:p>
      <w:pPr>
        <w:pStyle w:val="ListParagraph"/>
        <w:numPr>
          <w:ilvl w:val="0"/>
          <w:numId w:val="2"/>
        </w:numPr>
        <w:spacing w:after="80" w:line="300"/>
      </w:pPr>
      <w:r>
        <w:rPr>
          <w:rFonts w:ascii="Calibri" w:cs="Calibri" w:eastAsia="Calibri" w:hAnsi="Calibri"/>
          <w:b/>
          <w:bCs/>
          <w:sz w:val="22"/>
          <w:szCs w:val="22"/>
        </w:rPr>
        <w:t xml:space="preserve">Cálculo de attainment y payout: </w:t>
      </w:r>
      <w:r>
        <w:rPr>
          <w:rFonts w:ascii="Calibri" w:cs="Calibri" w:eastAsia="Calibri" w:hAnsi="Calibri"/>
          <w:sz w:val="22"/>
          <w:szCs w:val="22"/>
        </w:rPr>
        <w:t xml:space="preserve">se actualiza el progreso del representante hacia su cuota, se determina si ha cruzado umbrales de aceleración y se genera el registro de payout.</w:t>
      </w:r>
    </w:p>
    <w:p>
      <w:pPr>
        <w:pStyle w:val="ListParagraph"/>
        <w:numPr>
          <w:ilvl w:val="0"/>
          <w:numId w:val="2"/>
        </w:numPr>
        <w:spacing w:after="80" w:line="300"/>
      </w:pPr>
      <w:r>
        <w:rPr>
          <w:rFonts w:ascii="Calibri" w:cs="Calibri" w:eastAsia="Calibri" w:hAnsi="Calibri"/>
          <w:b/>
          <w:bCs/>
          <w:sz w:val="22"/>
          <w:szCs w:val="22"/>
        </w:rPr>
        <w:t xml:space="preserve">Workflow de revisión: </w:t>
      </w:r>
      <w:r>
        <w:rPr>
          <w:rFonts w:ascii="Calibri" w:cs="Calibri" w:eastAsia="Calibri" w:hAnsi="Calibri"/>
          <w:sz w:val="22"/>
          <w:szCs w:val="22"/>
        </w:rPr>
        <w:t xml:space="preserve">el representante puede levantar disputas, el manager revisa los cálculos, el equipo financiero aprueba la corrida final del período.</w:t>
      </w:r>
    </w:p>
    <w:p>
      <w:pPr>
        <w:pStyle w:val="ListParagraph"/>
        <w:numPr>
          <w:ilvl w:val="0"/>
          <w:numId w:val="2"/>
        </w:numPr>
        <w:spacing w:after="80" w:line="300"/>
      </w:pPr>
      <w:r>
        <w:rPr>
          <w:rFonts w:ascii="Calibri" w:cs="Calibri" w:eastAsia="Calibri" w:hAnsi="Calibri"/>
          <w:b/>
          <w:bCs/>
          <w:sz w:val="22"/>
          <w:szCs w:val="22"/>
        </w:rPr>
        <w:t xml:space="preserve">Pago e integración contable: </w:t>
      </w:r>
      <w:r>
        <w:rPr>
          <w:rFonts w:ascii="Calibri" w:cs="Calibri" w:eastAsia="Calibri" w:hAnsi="Calibri"/>
          <w:sz w:val="22"/>
          <w:szCs w:val="22"/>
        </w:rPr>
        <w:t xml:space="preserve">el payout aprobado se envía a payroll, se contabiliza según el principio de devengado, y se registran provisiones y ajustes futuros (clawbacks, deferrals).</w:t>
      </w:r>
    </w:p>
    <w:p>
      <w:pPr>
        <w:pStyle w:val="Heading2"/>
        <w:spacing w:after="160" w:before="280"/>
      </w:pPr>
      <w:r>
        <w:rPr>
          <w:rFonts w:ascii="Calibri" w:cs="Calibri" w:eastAsia="Calibri" w:hAnsi="Calibri"/>
          <w:b/>
          <w:bCs/>
          <w:color w:val="1F4E79"/>
          <w:sz w:val="26"/>
          <w:szCs w:val="26"/>
        </w:rPr>
        <w:t xml:space="preserve">3.2 El motor de cálculo: corazón del sistema</w:t>
      </w:r>
    </w:p>
    <w:p>
      <w:pPr>
        <w:spacing w:after="140" w:line="320"/>
        <w:jc w:val="both"/>
      </w:pPr>
      <w:r>
        <w:rPr>
          <w:rFonts w:ascii="Calibri" w:cs="Calibri" w:eastAsia="Calibri" w:hAnsi="Calibri"/>
          <w:sz w:val="22"/>
          <w:szCs w:val="22"/>
        </w:rPr>
        <w:t xml:space="preserve">El componente más complejo, y donde se concentra la propiedad intelectual de los proveedores, es el motor de cálculo. Su misión es traducir un plan de compensación (un documento legal entre la empresa y el representante) en operaciones aritméticas auditables, reproducibles y consistentes.</w:t>
      </w:r>
    </w:p>
    <w:p>
      <w:pPr>
        <w:spacing w:after="140" w:line="320"/>
        <w:jc w:val="both"/>
      </w:pPr>
      <w:r>
        <w:rPr>
          <w:rFonts w:ascii="Calibri" w:cs="Calibri" w:eastAsia="Calibri" w:hAnsi="Calibri"/>
          <w:sz w:val="22"/>
          <w:szCs w:val="22"/>
        </w:rPr>
        <w:t xml:space="preserve">Conceptualmente, una regla de compensación se compone de los siguientes elementos:</w:t>
      </w:r>
    </w:p>
    <w:p>
      <w:pPr>
        <w:pStyle w:val="ListParagraph"/>
        <w:numPr>
          <w:ilvl w:val="0"/>
          <w:numId w:val="2"/>
        </w:numPr>
        <w:spacing w:after="80" w:line="300"/>
      </w:pPr>
      <w:r>
        <w:rPr>
          <w:rFonts w:ascii="Calibri" w:cs="Calibri" w:eastAsia="Calibri" w:hAnsi="Calibri"/>
          <w:b/>
          <w:bCs/>
          <w:sz w:val="22"/>
          <w:szCs w:val="22"/>
        </w:rPr>
        <w:t xml:space="preserve">Trigger: </w:t>
      </w:r>
      <w:r>
        <w:rPr>
          <w:rFonts w:ascii="Calibri" w:cs="Calibri" w:eastAsia="Calibri" w:hAnsi="Calibri"/>
          <w:sz w:val="22"/>
          <w:szCs w:val="22"/>
        </w:rPr>
        <w:t xml:space="preserve">condición que determina cuándo aplica la regla, expresada en términos de atributos de la transacción (fecha, producto, territorio, tipo de cliente, valor mínimo).</w:t>
      </w:r>
    </w:p>
    <w:p>
      <w:pPr>
        <w:pStyle w:val="ListParagraph"/>
        <w:numPr>
          <w:ilvl w:val="0"/>
          <w:numId w:val="2"/>
        </w:numPr>
        <w:spacing w:after="80" w:line="300"/>
      </w:pPr>
      <w:r>
        <w:rPr>
          <w:rFonts w:ascii="Calibri" w:cs="Calibri" w:eastAsia="Calibri" w:hAnsi="Calibri"/>
          <w:b/>
          <w:bCs/>
          <w:sz w:val="22"/>
          <w:szCs w:val="22"/>
        </w:rPr>
        <w:t xml:space="preserve">Measurement: </w:t>
      </w:r>
      <w:r>
        <w:rPr>
          <w:rFonts w:ascii="Calibri" w:cs="Calibri" w:eastAsia="Calibri" w:hAnsi="Calibri"/>
          <w:sz w:val="22"/>
          <w:szCs w:val="22"/>
        </w:rPr>
        <w:t xml:space="preserve">magnitud sobre la que se calcula la comisión: revenue, margen, número de unidades, valor anual de contrato (ACV), bookings o cualquier métrica derivada.</w:t>
      </w:r>
    </w:p>
    <w:p>
      <w:pPr>
        <w:pStyle w:val="ListParagraph"/>
        <w:numPr>
          <w:ilvl w:val="0"/>
          <w:numId w:val="2"/>
        </w:numPr>
        <w:spacing w:after="80" w:line="300"/>
      </w:pPr>
      <w:r>
        <w:rPr>
          <w:rFonts w:ascii="Calibri" w:cs="Calibri" w:eastAsia="Calibri" w:hAnsi="Calibri"/>
          <w:b/>
          <w:bCs/>
          <w:sz w:val="22"/>
          <w:szCs w:val="22"/>
        </w:rPr>
        <w:t xml:space="preserve">Rate Table: </w:t>
      </w:r>
      <w:r>
        <w:rPr>
          <w:rFonts w:ascii="Calibri" w:cs="Calibri" w:eastAsia="Calibri" w:hAnsi="Calibri"/>
          <w:sz w:val="22"/>
          <w:szCs w:val="22"/>
        </w:rPr>
        <w:t xml:space="preserve">estructura tarifaria, que puede ser plana (un porcentaje único), escalonada por tramos o basada en attainment relativo a cuota.</w:t>
      </w:r>
    </w:p>
    <w:p>
      <w:pPr>
        <w:pStyle w:val="ListParagraph"/>
        <w:numPr>
          <w:ilvl w:val="0"/>
          <w:numId w:val="2"/>
        </w:numPr>
        <w:spacing w:after="80" w:line="300"/>
      </w:pPr>
      <w:r>
        <w:rPr>
          <w:rFonts w:ascii="Calibri" w:cs="Calibri" w:eastAsia="Calibri" w:hAnsi="Calibri"/>
          <w:b/>
          <w:bCs/>
          <w:sz w:val="22"/>
          <w:szCs w:val="22"/>
        </w:rPr>
        <w:t xml:space="preserve">Modifiers: </w:t>
      </w:r>
      <w:r>
        <w:rPr>
          <w:rFonts w:ascii="Calibri" w:cs="Calibri" w:eastAsia="Calibri" w:hAnsi="Calibri"/>
          <w:sz w:val="22"/>
          <w:szCs w:val="22"/>
        </w:rPr>
        <w:t xml:space="preserve">aceleradores que multiplican la comisión bajo ciertas condiciones, SPIFs como bonos fijos por logros específicos, multiplicadores estacionales o por categoría de producto.</w:t>
      </w:r>
    </w:p>
    <w:p>
      <w:pPr>
        <w:pStyle w:val="ListParagraph"/>
        <w:numPr>
          <w:ilvl w:val="0"/>
          <w:numId w:val="2"/>
        </w:numPr>
        <w:spacing w:after="80" w:line="300"/>
      </w:pPr>
      <w:r>
        <w:rPr>
          <w:rFonts w:ascii="Calibri" w:cs="Calibri" w:eastAsia="Calibri" w:hAnsi="Calibri"/>
          <w:b/>
          <w:bCs/>
          <w:sz w:val="22"/>
          <w:szCs w:val="22"/>
        </w:rPr>
        <w:t xml:space="preserve">Caps &amp; Floors: </w:t>
      </w:r>
      <w:r>
        <w:rPr>
          <w:rFonts w:ascii="Calibri" w:cs="Calibri" w:eastAsia="Calibri" w:hAnsi="Calibri"/>
          <w:sz w:val="22"/>
          <w:szCs w:val="22"/>
        </w:rPr>
        <w:t xml:space="preserve">techos máximos por transacción, mes o año, y pisos mínimos garantizados para proteger al representante en períodos bajos.</w:t>
      </w:r>
    </w:p>
    <w:p>
      <w:pPr>
        <w:pStyle w:val="ListParagraph"/>
        <w:numPr>
          <w:ilvl w:val="0"/>
          <w:numId w:val="2"/>
        </w:numPr>
        <w:spacing w:after="80" w:line="300"/>
      </w:pPr>
      <w:r>
        <w:rPr>
          <w:rFonts w:ascii="Calibri" w:cs="Calibri" w:eastAsia="Calibri" w:hAnsi="Calibri"/>
          <w:b/>
          <w:bCs/>
          <w:sz w:val="22"/>
          <w:szCs w:val="22"/>
        </w:rPr>
        <w:t xml:space="preserve">Clawbacks: </w:t>
      </w:r>
      <w:r>
        <w:rPr>
          <w:rFonts w:ascii="Calibri" w:cs="Calibri" w:eastAsia="Calibri" w:hAnsi="Calibri"/>
          <w:sz w:val="22"/>
          <w:szCs w:val="22"/>
        </w:rPr>
        <w:t xml:space="preserve">reglas de recuperación de comisiones ya pagadas cuando el negocio asociado se cancela, se devuelve o no cumple condiciones diferidas.</w:t>
      </w:r>
    </w:p>
    <w:p>
      <w:pPr>
        <w:spacing w:after="140" w:line="320"/>
        <w:jc w:val="both"/>
      </w:pPr>
      <w:r>
        <w:rPr>
          <w:rFonts w:ascii="Calibri" w:cs="Calibri" w:eastAsia="Calibri" w:hAnsi="Calibri"/>
          <w:sz w:val="22"/>
          <w:szCs w:val="22"/>
        </w:rPr>
        <w:t xml:space="preserve">Un representante de ventas típico está sujeto simultáneamente a entre tres y ocho reglas activas. Una empresa mediana opera entre veinte y cincuenta planes distintos al mismo tiempo, todos sujetos a revisión trimestral o anual. La combinatoria explica por qué la configuración inicial es costosa y por qué los cambios son fuente constante de errores.</w:t>
      </w:r>
    </w:p>
    <w:p>
      <w:pPr>
        <w:pStyle w:val="Heading2"/>
        <w:spacing w:after="160" w:before="280"/>
      </w:pPr>
      <w:r>
        <w:rPr>
          <w:rFonts w:ascii="Calibri" w:cs="Calibri" w:eastAsia="Calibri" w:hAnsi="Calibri"/>
          <w:b/>
          <w:bCs/>
          <w:color w:val="1F4E79"/>
          <w:sz w:val="26"/>
          <w:szCs w:val="26"/>
        </w:rPr>
        <w:t xml:space="preserve">3.3 Modelo de datos y arquitectura predominante</w:t>
      </w:r>
    </w:p>
    <w:p>
      <w:pPr>
        <w:spacing w:after="140" w:line="320"/>
        <w:jc w:val="both"/>
      </w:pPr>
      <w:r>
        <w:rPr>
          <w:rFonts w:ascii="Calibri" w:cs="Calibri" w:eastAsia="Calibri" w:hAnsi="Calibri"/>
          <w:sz w:val="22"/>
          <w:szCs w:val="22"/>
        </w:rPr>
        <w:t xml:space="preserve">Los sistemas líderes operan con bases de datos relacionales (Oracle, SQL Server, PostgreSQL) por razones de auditoría, integridad referencial y compatibilidad con las herramientas de Business Intelligence del cliente. El cálculo se ejecuta tradicionalmente en modo batch nocturno o de cierre de período, sobre conjuntos de transacciones acumuladas durante el período.</w:t>
      </w:r>
    </w:p>
    <w:p>
      <w:pPr>
        <w:spacing w:after="140" w:line="320"/>
        <w:jc w:val="both"/>
      </w:pPr>
      <w:r>
        <w:rPr>
          <w:rFonts w:ascii="Calibri" w:cs="Calibri" w:eastAsia="Calibri" w:hAnsi="Calibri"/>
          <w:sz w:val="22"/>
          <w:szCs w:val="22"/>
        </w:rPr>
        <w:t xml:space="preserve">Los proveedores más modernos (CaptivateIQ, Everstage, Spiff antes de su adquisición por Salesforce) han introducido modelos híbridos: previsualización en tiempo real para el representante de ventas y ejecución oficial batch al cierre. Esta evolución responde directamente a la demanda de transparencia que los reportes recientes del sector identifican como una de las principales fuentes de insatisfacción.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9" w:val="clear"/>
            <w:tcMar>
              <w:top w:type="dxa" w:w="160"/>
              <w:left w:type="dxa" w:w="200"/>
              <w:bottom w:type="dxa" w:w="160"/>
              <w:right w:type="dxa" w:w="200"/>
            </w:tcMar>
          </w:tcPr>
          <w:p>
            <w:pPr>
              <w:spacing w:after="100"/>
            </w:pPr>
            <w:r>
              <w:rPr>
                <w:rFonts w:ascii="Calibri" w:cs="Calibri" w:eastAsia="Calibri" w:hAnsi="Calibri"/>
                <w:b/>
                <w:bCs/>
                <w:color w:val="1F4E79"/>
                <w:sz w:val="22"/>
                <w:szCs w:val="22"/>
              </w:rPr>
              <w:t xml:space="preserve">Lección clave para Wasnie</w:t>
            </w:r>
          </w:p>
          <w:p>
            <w:pPr>
              <w:jc w:val="both"/>
            </w:pPr>
            <w:r>
              <w:rPr>
                <w:rFonts w:ascii="Calibri" w:cs="Calibri" w:eastAsia="Calibri" w:hAnsi="Calibri"/>
                <w:sz w:val="22"/>
                <w:szCs w:val="22"/>
              </w:rPr>
              <w:t xml:space="preserve">El motor de cálculo no es simplemente un evaluador de expresiones. Es un componente que debe ser, simultáneamente, expresivo (capaz de modelar cualquier plan razonable), determinista (mismo input produce mismo output), auditable (cada centavo trazable a su regla), reproducible (cálculos históricos recomputables) y rápido (capaz de dar feedback al representante en menos de un segundo). Esta combinación es lo que justifica el esfuerzo arquitectónico.</w:t>
            </w:r>
          </w:p>
        </w:tc>
      </w:tr>
    </w:tbl>
    <w:p>
      <w:r>
        <w:br w:type="page"/>
      </w:r>
    </w:p>
    <w:p>
      <w:pPr>
        <w:pStyle w:val="Heading1"/>
        <w:spacing w:after="200" w:before="360"/>
      </w:pPr>
      <w:r>
        <w:rPr>
          <w:rFonts w:ascii="Calibri" w:cs="Calibri" w:eastAsia="Calibri" w:hAnsi="Calibri"/>
          <w:b/>
          <w:bCs/>
          <w:color w:val="1F4E79"/>
          <w:sz w:val="32"/>
          <w:szCs w:val="32"/>
        </w:rPr>
        <w:t xml:space="preserve">4. Los problemas reales del mercado SPM actual</w:t>
      </w:r>
    </w:p>
    <w:p>
      <w:pPr>
        <w:spacing w:after="140" w:line="320"/>
        <w:jc w:val="both"/>
      </w:pPr>
      <w:r>
        <w:rPr>
          <w:rFonts w:ascii="Calibri" w:cs="Calibri" w:eastAsia="Calibri" w:hAnsi="Calibri"/>
          <w:sz w:val="22"/>
          <w:szCs w:val="22"/>
        </w:rPr>
        <w:t xml:space="preserve">El análisis cruzado de reseñas en Gartner Peer Insights, G2, reportes de Forrester, comentarios públicos de implementadores y reportes oficiales de los proveedores revela un conjunto consistente de problemas que afectan a todos los actores establecidos. No son fallos puntuales: son consecuencias estructurales de decisiones arquitectónicas tomadas hace una década o más.</w:t>
      </w:r>
    </w:p>
    <w:p>
      <w:pPr>
        <w:pStyle w:val="Heading2"/>
        <w:spacing w:after="160" w:before="280"/>
      </w:pPr>
      <w:r>
        <w:rPr>
          <w:rFonts w:ascii="Calibri" w:cs="Calibri" w:eastAsia="Calibri" w:hAnsi="Calibri"/>
          <w:b/>
          <w:bCs/>
          <w:color w:val="1F4E79"/>
          <w:sz w:val="26"/>
          <w:szCs w:val="26"/>
        </w:rPr>
        <w:t xml:space="preserve">4.1 Tiempo de implementación excesivo</w:t>
      </w:r>
    </w:p>
    <w:p>
      <w:pPr>
        <w:spacing w:after="140" w:line="320"/>
        <w:jc w:val="both"/>
      </w:pPr>
      <w:r>
        <w:rPr>
          <w:rFonts w:ascii="Calibri" w:cs="Calibri" w:eastAsia="Calibri" w:hAnsi="Calibri"/>
          <w:sz w:val="22"/>
          <w:szCs w:val="22"/>
        </w:rPr>
        <w:t xml:space="preserve">La implementación de un sistema SPM empresarial dura entre seis y dieciocho meses. Este plazo incluye descubrimiento de requerimientos, configuración de planes, integración con CRM y ERP, migración de datos históricos, pruebas paralelas (running shadow del sistema viejo y el nuevo en simultáneo) y entrenamiento de usuarios. Durante todo este período, el cliente paga licencias y honorarios de consultoría sin obtener valor productivo.</w:t>
      </w:r>
    </w:p>
    <w:p>
      <w:pPr>
        <w:spacing w:after="140" w:line="320"/>
        <w:jc w:val="both"/>
      </w:pPr>
      <w:r>
        <w:rPr>
          <w:rFonts w:ascii="Calibri" w:cs="Calibri" w:eastAsia="Calibri" w:hAnsi="Calibri"/>
          <w:sz w:val="22"/>
          <w:szCs w:val="22"/>
        </w:rPr>
        <w:t xml:space="preserve">La causa raíz no es la complejidad técnica intrínseca, sino que los productos están diseñados para ser configurados por consultores especializados. La interfaz, la documentación y la lógica de configuración asumen un usuario implementador, no un usuario final. Este sesgo origina un mercado paralelo de consultoras (Canidium, OpenSymmetry, Spectrum Technologies, Lanshore) cuyo modelo de negocio depende de que la configuración sea suficientemente difícil para justificar honorarios.</w:t>
      </w:r>
    </w:p>
    <w:p>
      <w:pPr>
        <w:pStyle w:val="Heading2"/>
        <w:spacing w:after="160" w:before="280"/>
      </w:pPr>
      <w:r>
        <w:rPr>
          <w:rFonts w:ascii="Calibri" w:cs="Calibri" w:eastAsia="Calibri" w:hAnsi="Calibri"/>
          <w:b/>
          <w:bCs/>
          <w:color w:val="1F4E79"/>
          <w:sz w:val="26"/>
          <w:szCs w:val="26"/>
        </w:rPr>
        <w:t xml:space="preserve">4.2 Coste total de propiedad oculto</w:t>
      </w:r>
    </w:p>
    <w:p>
      <w:pPr>
        <w:spacing w:after="140" w:line="320"/>
        <w:jc w:val="both"/>
      </w:pPr>
      <w:r>
        <w:rPr>
          <w:rFonts w:ascii="Calibri" w:cs="Calibri" w:eastAsia="Calibri" w:hAnsi="Calibri"/>
          <w:sz w:val="22"/>
          <w:szCs w:val="22"/>
        </w:rPr>
        <w:t xml:space="preserve">Los precios de lista de las licencias son solo una fracción del coste total. Para un cliente típico de doscientos representantes, el desglose anual aproximado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Concepto</w:t>
            </w:r>
          </w:p>
        </w:tc>
        <w:tc>
          <w:tcPr>
            <w:tcW w:type="dxa" w:w="234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Rango anual (USD)</w:t>
            </w:r>
          </w:p>
        </w:tc>
        <w:tc>
          <w:tcPr>
            <w:tcW w:type="dxa" w:w="234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Tipo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Licencias de software (subscription)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50.000 – 150.000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Recurrente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Implementación inicial (consultoría)</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100.000 – 400.000</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Año 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Soporte y mantenimiento de configuración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30.000 – 80.000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Recurrente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Administrador interno dedicado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80.000 – 130.000</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Recurrente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Integraciones custom y desarrollos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20.000 – 100.000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Variable</w:t>
            </w:r>
          </w:p>
        </w:tc>
      </w:tr>
    </w:tbl>
    <w:p>
      <w:pPr>
        <w:spacing w:after="140" w:line="320"/>
        <w:jc w:val="both"/>
      </w:pPr>
      <w:r>
        <w:rPr>
          <w:rFonts w:ascii="Calibri" w:cs="Calibri" w:eastAsia="Calibri" w:hAnsi="Calibri"/>
          <w:sz w:val="22"/>
          <w:szCs w:val="22"/>
        </w:rPr>
        <w:t xml:space="preserve"> </w:t>
      </w:r>
    </w:p>
    <w:p>
      <w:pPr>
        <w:spacing w:after="140" w:line="320"/>
        <w:jc w:val="both"/>
      </w:pPr>
      <w:r>
        <w:rPr>
          <w:rFonts w:ascii="Calibri" w:cs="Calibri" w:eastAsia="Calibri" w:hAnsi="Calibri"/>
          <w:sz w:val="22"/>
          <w:szCs w:val="22"/>
        </w:rPr>
        <w:t xml:space="preserve">El precio de lista de las licencias rara vez representa más del 25 % del coste total durante los primeros tres años. Este modelo penaliza desproporcionadamente a las empresas medianas (entre 50 y 300 representantes), que son demasiado grandes para hojas de cálculo y demasiado pequeñas para amortizar una implementación de seis cifras.</w:t>
      </w:r>
    </w:p>
    <w:p>
      <w:pPr>
        <w:pStyle w:val="Heading2"/>
        <w:spacing w:after="160" w:before="280"/>
      </w:pPr>
      <w:r>
        <w:rPr>
          <w:rFonts w:ascii="Calibri" w:cs="Calibri" w:eastAsia="Calibri" w:hAnsi="Calibri"/>
          <w:b/>
          <w:bCs/>
          <w:color w:val="1F4E79"/>
          <w:sz w:val="26"/>
          <w:szCs w:val="26"/>
        </w:rPr>
        <w:t xml:space="preserve">4.3 Rigidez frente a cambios en los planes</w:t>
      </w:r>
    </w:p>
    <w:p>
      <w:pPr>
        <w:spacing w:after="140" w:line="320"/>
        <w:jc w:val="both"/>
      </w:pPr>
      <w:r>
        <w:rPr>
          <w:rFonts w:ascii="Calibri" w:cs="Calibri" w:eastAsia="Calibri" w:hAnsi="Calibri"/>
          <w:sz w:val="22"/>
          <w:szCs w:val="22"/>
        </w:rPr>
        <w:t xml:space="preserve">Los planes de compensación cambian. Cambian al inicio de cada año fiscal, cambian a mitad de trimestre cuando la dirección comercial introduce un SPIF agresivo, cambian cuando se lanza un producto nuevo o se reorganiza un territorio. En la mayoría de los sistemas tradicionales, estos cambios requieren intervención del administrador, validación por consultor externo o, en casos extremos, un nuevo proyecto de implementación.</w:t>
      </w:r>
    </w:p>
    <w:p>
      <w:pPr>
        <w:spacing w:after="140" w:line="320"/>
        <w:jc w:val="both"/>
      </w:pPr>
      <w:r>
        <w:rPr>
          <w:rFonts w:ascii="Calibri" w:cs="Calibri" w:eastAsia="Calibri" w:hAnsi="Calibri"/>
          <w:sz w:val="22"/>
          <w:szCs w:val="22"/>
        </w:rPr>
        <w:t xml:space="preserve">Las reseñas verificadas de usuarios en Gartner Peer Insights destacan repetidamente este punto. Sobre Varicent, los usuarios reconocen la potencia del producto pero señalan ciclos de onboarding largos, curvas de aprendizaje pronunciadas y la necesidad de administradores dedicados o soporte externo. Sobre Xactly, comentarios similares apuntan a la complejidad de configuración para casos no estándar.</w:t>
      </w:r>
    </w:p>
    <w:p>
      <w:pPr>
        <w:pBdr>
          <w:left w:val="single" w:color="2E75B6" w:sz="18" w:space="12"/>
        </w:pBdr>
        <w:spacing w:after="160" w:before="160" w:line="320"/>
        <w:ind w:left="480" w:right="480"/>
        <w:jc w:val="both"/>
      </w:pPr>
      <w:r>
        <w:rPr>
          <w:rFonts w:ascii="Calibri" w:cs="Calibri" w:eastAsia="Calibri" w:hAnsi="Calibri"/>
          <w:i/>
          <w:iCs/>
          <w:color w:val="595959"/>
          <w:sz w:val="22"/>
          <w:szCs w:val="22"/>
        </w:rPr>
        <w:t xml:space="preserve">El equipo de éxito del cliente fue muy amable y atento; el problema empezó cuando trabajamos con los desarrolladores. Prometieron muchas cosas que no pudieron entregarse por tiempo. (Reseña verificada de un usuario empresarial sobre un proveedor SPM líder, Gartner Peer Insights)</w:t>
      </w:r>
    </w:p>
    <w:p>
      <w:pPr>
        <w:pStyle w:val="Heading2"/>
        <w:spacing w:after="160" w:before="280"/>
      </w:pPr>
      <w:r>
        <w:rPr>
          <w:rFonts w:ascii="Calibri" w:cs="Calibri" w:eastAsia="Calibri" w:hAnsi="Calibri"/>
          <w:b/>
          <w:bCs/>
          <w:color w:val="1F4E79"/>
          <w:sz w:val="26"/>
          <w:szCs w:val="26"/>
        </w:rPr>
        <w:t xml:space="preserve">4.4 Falta de transparencia para el representante</w:t>
      </w:r>
    </w:p>
    <w:p>
      <w:pPr>
        <w:spacing w:after="140" w:line="320"/>
        <w:jc w:val="both"/>
      </w:pPr>
      <w:r>
        <w:rPr>
          <w:rFonts w:ascii="Calibri" w:cs="Calibri" w:eastAsia="Calibri" w:hAnsi="Calibri"/>
          <w:sz w:val="22"/>
          <w:szCs w:val="22"/>
        </w:rPr>
        <w:t xml:space="preserve">Solo el 52 % de las compañías ofrece a sus representantes seguimiento de performance en tiempo real, y apenas el 50 % les da visibilidad sobre comisiones actuales y potenciales. Esta opacidad genera un círculo vicioso: el representante desconfía de los números, levanta disputas, el manager investiga, finanzas reprocesa, todos pierden tiempo y la confianza se erosiona.</w:t>
      </w:r>
    </w:p>
    <w:p>
      <w:pPr>
        <w:spacing w:after="140" w:line="320"/>
        <w:jc w:val="both"/>
      </w:pPr>
      <w:r>
        <w:rPr>
          <w:rFonts w:ascii="Calibri" w:cs="Calibri" w:eastAsia="Calibri" w:hAnsi="Calibri"/>
          <w:sz w:val="22"/>
          <w:szCs w:val="22"/>
        </w:rPr>
        <w:t xml:space="preserve">El representante no necesita un dashboard ejecutivo con veinte KPIs. Necesita responder, en cualquier momento del trimestre, a tres preguntas: cuánto he ganado hasta ahora, cuánto ganaría si cierro el deal que tengo en pipeline, y cuánto me falta para alcanzar el siguiente acelerador. Los sistemas tradicionales no responden a estas preguntas con claridad porque su modelo de cálculo es batch y porque la UI fue diseñada para administradores.</w:t>
      </w:r>
    </w:p>
    <w:p>
      <w:pPr>
        <w:pStyle w:val="Heading2"/>
        <w:spacing w:after="160" w:before="280"/>
      </w:pPr>
      <w:r>
        <w:rPr>
          <w:rFonts w:ascii="Calibri" w:cs="Calibri" w:eastAsia="Calibri" w:hAnsi="Calibri"/>
          <w:b/>
          <w:bCs/>
          <w:color w:val="1F4E79"/>
          <w:sz w:val="26"/>
          <w:szCs w:val="26"/>
        </w:rPr>
        <w:t xml:space="preserve">4.5 Disputes mal gestionadas</w:t>
      </w:r>
    </w:p>
    <w:p>
      <w:pPr>
        <w:spacing w:after="140" w:line="320"/>
        <w:jc w:val="both"/>
      </w:pPr>
      <w:r>
        <w:rPr>
          <w:rFonts w:ascii="Calibri" w:cs="Calibri" w:eastAsia="Calibri" w:hAnsi="Calibri"/>
          <w:sz w:val="22"/>
          <w:szCs w:val="22"/>
        </w:rPr>
        <w:t xml:space="preserve">Cuando un representante cuestiona una comisión, lo habitual es que el flujo se gestione fuera del sistema: por email, en una hoja de cálculo paralela o en un canal de Slack. La consecuencia es pérdida de trazabilidad, decisiones inconsistentes entre managers y reprocesos manuales que reintroducen errores.</w:t>
      </w:r>
    </w:p>
    <w:p>
      <w:pPr>
        <w:spacing w:after="140" w:line="320"/>
        <w:jc w:val="both"/>
      </w:pPr>
      <w:r>
        <w:rPr>
          <w:rFonts w:ascii="Calibri" w:cs="Calibri" w:eastAsia="Calibri" w:hAnsi="Calibri"/>
          <w:sz w:val="22"/>
          <w:szCs w:val="22"/>
        </w:rPr>
        <w:t xml:space="preserve">Los sistemas modernos incorporan workflows de dispute estructurados, pero su adopción es desigual. La mayoría de las plataformas heredadas tratan las disputas como un caso de uso secundario.</w:t>
      </w:r>
    </w:p>
    <w:p>
      <w:pPr>
        <w:pStyle w:val="Heading2"/>
        <w:spacing w:after="160" w:before="280"/>
      </w:pPr>
      <w:r>
        <w:rPr>
          <w:rFonts w:ascii="Calibri" w:cs="Calibri" w:eastAsia="Calibri" w:hAnsi="Calibri"/>
          <w:b/>
          <w:bCs/>
          <w:color w:val="1F4E79"/>
          <w:sz w:val="26"/>
          <w:szCs w:val="26"/>
        </w:rPr>
        <w:t xml:space="preserve">4.6 Integraciones frágiles</w:t>
      </w:r>
    </w:p>
    <w:p>
      <w:pPr>
        <w:spacing w:after="140" w:line="320"/>
        <w:jc w:val="both"/>
      </w:pPr>
      <w:r>
        <w:rPr>
          <w:rFonts w:ascii="Calibri" w:cs="Calibri" w:eastAsia="Calibri" w:hAnsi="Calibri"/>
          <w:sz w:val="22"/>
          <w:szCs w:val="22"/>
        </w:rPr>
        <w:t xml:space="preserve">Los sistemas SPM dependen de datos limpios provenientes del CRM y del ERP. En la práctica, los datos llegan sucios, incompletos o tardíos. Las integraciones tradicionales son punto a punto, sin transformaciones declarativas, sin versionado de mapeos y sin un mecanismo claro de reproceso cuando se descubre que un atributo crítico estuvo mal mapeado durante semanas. Los proveedores han empezado a apoyarse en plataformas iPaaS como Workato para mitigar este problema, pero al coste de añadir otra licencia y otro proveedor a gestionar.</w:t>
      </w:r>
    </w:p>
    <w:p>
      <w:pPr>
        <w:pStyle w:val="Heading2"/>
        <w:spacing w:after="160" w:before="280"/>
      </w:pPr>
      <w:r>
        <w:rPr>
          <w:rFonts w:ascii="Calibri" w:cs="Calibri" w:eastAsia="Calibri" w:hAnsi="Calibri"/>
          <w:b/>
          <w:bCs/>
          <w:color w:val="1F4E79"/>
          <w:sz w:val="26"/>
          <w:szCs w:val="26"/>
        </w:rPr>
        <w:t xml:space="preserve">4.7 Migración forzosa: la próxima ola</w:t>
      </w:r>
    </w:p>
    <w:p>
      <w:pPr>
        <w:spacing w:after="140" w:line="320"/>
        <w:jc w:val="both"/>
      </w:pPr>
      <w:r>
        <w:rPr>
          <w:rFonts w:ascii="Calibri" w:cs="Calibri" w:eastAsia="Calibri" w:hAnsi="Calibri"/>
          <w:sz w:val="22"/>
          <w:szCs w:val="22"/>
        </w:rPr>
        <w:t xml:space="preserve">La retirada anunciada de SAP CallidusCloud para diciembre de 2026 obliga a miles de empresas a re-plataformizar. Este evento representa, simultáneamente, una validación del costo de migración que los clientes están dispuestos a asumir y una ventana de oportunidad para nuevos entrantes que sepan ofrecer un camino de migración asistido.</w:t>
      </w:r>
    </w:p>
    <w:p>
      <w:r>
        <w:br w:type="page"/>
      </w:r>
    </w:p>
    <w:p>
      <w:pPr>
        <w:pStyle w:val="Heading1"/>
        <w:spacing w:after="200" w:before="360"/>
      </w:pPr>
      <w:r>
        <w:rPr>
          <w:rFonts w:ascii="Calibri" w:cs="Calibri" w:eastAsia="Calibri" w:hAnsi="Calibri"/>
          <w:b/>
          <w:bCs/>
          <w:color w:val="1F4E79"/>
          <w:sz w:val="32"/>
          <w:szCs w:val="32"/>
        </w:rPr>
        <w:t xml:space="preserve">5. La oportunidad: cómo Wasnie resuelve estos problemas</w:t>
      </w:r>
    </w:p>
    <w:p>
      <w:pPr>
        <w:spacing w:after="140" w:line="320"/>
        <w:jc w:val="both"/>
      </w:pPr>
      <w:r>
        <w:rPr>
          <w:rFonts w:ascii="Calibri" w:cs="Calibri" w:eastAsia="Calibri" w:hAnsi="Calibri"/>
          <w:sz w:val="22"/>
          <w:szCs w:val="22"/>
        </w:rPr>
        <w:t xml:space="preserve">Wasnie no se concibe como una réplica mejorada de Xactly. Se concibe como una respuesta arquitectónica y de producto a los siete problemas identificados en la sección anterior. Cada decisión técnica está alineada con un problema concreto del mercado.</w:t>
      </w:r>
    </w:p>
    <w:p>
      <w:pPr>
        <w:pStyle w:val="Heading2"/>
        <w:spacing w:after="160" w:before="280"/>
      </w:pPr>
      <w:r>
        <w:rPr>
          <w:rFonts w:ascii="Calibri" w:cs="Calibri" w:eastAsia="Calibri" w:hAnsi="Calibri"/>
          <w:b/>
          <w:bCs/>
          <w:color w:val="1F4E79"/>
          <w:sz w:val="26"/>
          <w:szCs w:val="26"/>
        </w:rPr>
        <w:t xml:space="preserve">5.1 Principios rectores</w:t>
      </w:r>
    </w:p>
    <w:p>
      <w:pPr>
        <w:pStyle w:val="ListParagraph"/>
        <w:numPr>
          <w:ilvl w:val="0"/>
          <w:numId w:val="2"/>
        </w:numPr>
        <w:spacing w:after="80" w:line="300"/>
      </w:pPr>
      <w:r>
        <w:rPr>
          <w:rFonts w:ascii="Calibri" w:cs="Calibri" w:eastAsia="Calibri" w:hAnsi="Calibri"/>
          <w:b/>
          <w:bCs/>
          <w:sz w:val="22"/>
          <w:szCs w:val="22"/>
        </w:rPr>
        <w:t xml:space="preserve">Self-serve configurable: </w:t>
      </w:r>
      <w:r>
        <w:rPr>
          <w:rFonts w:ascii="Calibri" w:cs="Calibri" w:eastAsia="Calibri" w:hAnsi="Calibri"/>
          <w:sz w:val="22"/>
          <w:szCs w:val="22"/>
        </w:rPr>
        <w:t xml:space="preserve">el cliente debe poder configurar el 80 % de su realidad sin consultoría externa. La complejidad solo aparece cuando se necesita de verdad.</w:t>
      </w:r>
    </w:p>
    <w:p>
      <w:pPr>
        <w:pStyle w:val="ListParagraph"/>
        <w:numPr>
          <w:ilvl w:val="0"/>
          <w:numId w:val="2"/>
        </w:numPr>
        <w:spacing w:after="80" w:line="300"/>
      </w:pPr>
      <w:r>
        <w:rPr>
          <w:rFonts w:ascii="Calibri" w:cs="Calibri" w:eastAsia="Calibri" w:hAnsi="Calibri"/>
          <w:b/>
          <w:bCs/>
          <w:sz w:val="22"/>
          <w:szCs w:val="22"/>
        </w:rPr>
        <w:t xml:space="preserve">Transparente por defecto: </w:t>
      </w:r>
      <w:r>
        <w:rPr>
          <w:rFonts w:ascii="Calibri" w:cs="Calibri" w:eastAsia="Calibri" w:hAnsi="Calibri"/>
          <w:sz w:val="22"/>
          <w:szCs w:val="22"/>
        </w:rPr>
        <w:t xml:space="preserve">cada cálculo es trazable hasta su regla, cada cambio queda registrado, cada representante ve sus números en tiempo real.</w:t>
      </w:r>
    </w:p>
    <w:p>
      <w:pPr>
        <w:pStyle w:val="ListParagraph"/>
        <w:numPr>
          <w:ilvl w:val="0"/>
          <w:numId w:val="2"/>
        </w:numPr>
        <w:spacing w:after="80" w:line="300"/>
      </w:pPr>
      <w:r>
        <w:rPr>
          <w:rFonts w:ascii="Calibri" w:cs="Calibri" w:eastAsia="Calibri" w:hAnsi="Calibri"/>
          <w:b/>
          <w:bCs/>
          <w:sz w:val="22"/>
          <w:szCs w:val="22"/>
        </w:rPr>
        <w:t xml:space="preserve">Multi-tenant nativo: </w:t>
      </w:r>
      <w:r>
        <w:rPr>
          <w:rFonts w:ascii="Calibri" w:cs="Calibri" w:eastAsia="Calibri" w:hAnsi="Calibri"/>
          <w:sz w:val="22"/>
          <w:szCs w:val="22"/>
        </w:rPr>
        <w:t xml:space="preserve">la arquitectura asume multi-tenancy desde la primera línea de código, con aislamiento aplicado automáticamente en cada consulta.</w:t>
      </w:r>
    </w:p>
    <w:p>
      <w:pPr>
        <w:pStyle w:val="ListParagraph"/>
        <w:numPr>
          <w:ilvl w:val="0"/>
          <w:numId w:val="2"/>
        </w:numPr>
        <w:spacing w:after="80" w:line="300"/>
      </w:pPr>
      <w:r>
        <w:rPr>
          <w:rFonts w:ascii="Calibri" w:cs="Calibri" w:eastAsia="Calibri" w:hAnsi="Calibri"/>
          <w:b/>
          <w:bCs/>
          <w:sz w:val="22"/>
          <w:szCs w:val="22"/>
        </w:rPr>
        <w:t xml:space="preserve">Cálculo híbrido: </w:t>
      </w:r>
      <w:r>
        <w:rPr>
          <w:rFonts w:ascii="Calibri" w:cs="Calibri" w:eastAsia="Calibri" w:hAnsi="Calibri"/>
          <w:sz w:val="22"/>
          <w:szCs w:val="22"/>
        </w:rPr>
        <w:t xml:space="preserve">preview en tiempo real para el representante, cierre oficial batch para finanzas. Lo mejor de ambos mundos.</w:t>
      </w:r>
    </w:p>
    <w:p>
      <w:pPr>
        <w:pStyle w:val="ListParagraph"/>
        <w:numPr>
          <w:ilvl w:val="0"/>
          <w:numId w:val="2"/>
        </w:numPr>
        <w:spacing w:after="80" w:line="300"/>
      </w:pPr>
      <w:r>
        <w:rPr>
          <w:rFonts w:ascii="Calibri" w:cs="Calibri" w:eastAsia="Calibri" w:hAnsi="Calibri"/>
          <w:b/>
          <w:bCs/>
          <w:sz w:val="22"/>
          <w:szCs w:val="22"/>
        </w:rPr>
        <w:t xml:space="preserve">Inmutabilidad auditable: </w:t>
      </w:r>
      <w:r>
        <w:rPr>
          <w:rFonts w:ascii="Calibri" w:cs="Calibri" w:eastAsia="Calibri" w:hAnsi="Calibri"/>
          <w:sz w:val="22"/>
          <w:szCs w:val="22"/>
        </w:rPr>
        <w:t xml:space="preserve">una vez aprobado, un cálculo no se modifica, se ajusta mediante operaciones explícitas y reversibles.</w:t>
      </w:r>
    </w:p>
    <w:p>
      <w:pPr>
        <w:pStyle w:val="ListParagraph"/>
        <w:numPr>
          <w:ilvl w:val="0"/>
          <w:numId w:val="2"/>
        </w:numPr>
        <w:spacing w:after="80" w:line="300"/>
      </w:pPr>
      <w:r>
        <w:rPr>
          <w:rFonts w:ascii="Calibri" w:cs="Calibri" w:eastAsia="Calibri" w:hAnsi="Calibri"/>
          <w:b/>
          <w:bCs/>
          <w:sz w:val="22"/>
          <w:szCs w:val="22"/>
        </w:rPr>
        <w:t xml:space="preserve">API-first: </w:t>
      </w:r>
      <w:r>
        <w:rPr>
          <w:rFonts w:ascii="Calibri" w:cs="Calibri" w:eastAsia="Calibri" w:hAnsi="Calibri"/>
          <w:sz w:val="22"/>
          <w:szCs w:val="22"/>
        </w:rPr>
        <w:t xml:space="preserve">toda funcionalidad expuesta primero como API, después como UI. Las integraciones no son ciudadanos de segunda clase.</w:t>
      </w:r>
    </w:p>
    <w:p>
      <w:pPr>
        <w:pStyle w:val="Heading2"/>
        <w:spacing w:after="160" w:before="280"/>
      </w:pPr>
      <w:r>
        <w:rPr>
          <w:rFonts w:ascii="Calibri" w:cs="Calibri" w:eastAsia="Calibri" w:hAnsi="Calibri"/>
          <w:b/>
          <w:bCs/>
          <w:color w:val="1F4E79"/>
          <w:sz w:val="26"/>
          <w:szCs w:val="26"/>
        </w:rPr>
        <w:t xml:space="preserve">5.2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Capa</w:t>
            </w:r>
          </w:p>
        </w:tc>
        <w:tc>
          <w:tcPr>
            <w:tcW w:type="dxa" w:w="624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Tecnología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Backend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ASP.NET Core .NET 8, Entity Framework Core 8 (Code-First), MediatR (CQRS), FluentValidation, Serilog, AutoMapper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Frontend</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Angular 20 (standalone components, Signals, inject()), Tailwind CSS vía @apply en SCSS, @ngx-translate (EN/ES/PL)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Base de datos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SQL Server con autenticación Windows (desarrollo) y SQL (producción), migraciones Code-First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Autenticación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JWT Bearer con refresh tokens, ASP.NET Core Identity, autorización por roles y claims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Arquitectura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Clean Architecture estricta, proyectos Class Library separados (Domain, Application, Infrastructure, Api), SOLID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Multi-tenancy</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Discriminator column con TenantId en cada entidad, ITenantContext por request, filtros globales EF Core</w:t>
            </w:r>
          </w:p>
        </w:tc>
      </w:tr>
    </w:tbl>
    <w:p>
      <w:pPr>
        <w:spacing w:after="140" w:line="320"/>
        <w:jc w:val="both"/>
      </w:pPr>
      <w:r>
        <w:rPr>
          <w:rFonts w:ascii="Calibri" w:cs="Calibri" w:eastAsia="Calibri" w:hAnsi="Calibri"/>
          <w:sz w:val="22"/>
          <w:szCs w:val="22"/>
        </w:rPr>
        <w:t xml:space="preserve"> </w:t>
      </w:r>
    </w:p>
    <w:p>
      <w:pPr>
        <w:pStyle w:val="Heading2"/>
        <w:spacing w:after="160" w:before="280"/>
      </w:pPr>
      <w:r>
        <w:rPr>
          <w:rFonts w:ascii="Calibri" w:cs="Calibri" w:eastAsia="Calibri" w:hAnsi="Calibri"/>
          <w:b/>
          <w:bCs/>
          <w:color w:val="1F4E79"/>
          <w:sz w:val="26"/>
          <w:szCs w:val="26"/>
        </w:rPr>
        <w:t xml:space="preserve">5.3 Mapeo problema –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Problema del mercado</w:t>
            </w:r>
          </w:p>
        </w:tc>
        <w:tc>
          <w:tcPr>
            <w:tcW w:type="dxa" w:w="46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rFonts w:ascii="Calibri" w:cs="Calibri" w:eastAsia="Calibri" w:hAnsi="Calibri"/>
                <w:b/>
                <w:bCs/>
                <w:color w:val="FFFFFF"/>
                <w:sz w:val="20"/>
                <w:szCs w:val="20"/>
              </w:rPr>
              <w:t xml:space="preserve">Respuesta de Wasnie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Tiempo de implementación de 6 a 18 meses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Onboarding self-serve con plantillas de planes preconfiguradas para los casos más comunes (SaaS, retail, channel). Target inicial: primer plan productivo en menos de 2 semanas.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Coste total elevado con dependencia de consultoría</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Modelo de precios transparente por representante, sin honorarios de implementación obligatorios. Documentación pública. Configuración sin código para el 80 % de los casos.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Rigidez frente a cambios de planes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Plan Designer visual con versionado integrado. Posibilidad de ejecutar un plan en modo simulación contra datos históricos antes de activarlo. Cambios en caliente con backfill controlado.</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Falta de visibilidad en tiempo real para el representante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Portal del representante con cálculo en tiempo real, simulador de what-if (¿qué pasa si cierro este deal?), métricas de attainment vivas, notificaciones de aceleradores próximos.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Disputes fuera del sistema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Workflow nativo de disputes con SLA configurable, asignación automática a manager, trazabilidad completa y aprobación con firma digital. Integración con canales del cliente (email, Slack).</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Integraciones frágiles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sz w:val="20"/>
                <w:szCs w:val="20"/>
              </w:rPr>
              <w:t xml:space="preserve">Conectores nativos a CRMs y ERPs principales, modelo de transformación declarativa, reproceso parcial de períodos cerrados con audit trail.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Migración forzosa desde sistemas legacy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Herramientas de importación específicas para exports de Xactly, Varicent y SAP CallidusCloud. Compatibilidad de modelo conceptual para acelerar la transición.</w:t>
            </w:r>
          </w:p>
        </w:tc>
      </w:tr>
    </w:tbl>
    <w:p>
      <w:pPr>
        <w:spacing w:after="140" w:line="320"/>
        <w:jc w:val="both"/>
      </w:pPr>
      <w:r>
        <w:rPr>
          <w:rFonts w:ascii="Calibri" w:cs="Calibri" w:eastAsia="Calibri" w:hAnsi="Calibri"/>
          <w:sz w:val="22"/>
          <w:szCs w:val="22"/>
        </w:rPr>
        <w:t xml:space="preserve"> </w:t>
      </w:r>
    </w:p>
    <w:p>
      <w:pPr>
        <w:pStyle w:val="Heading2"/>
        <w:spacing w:after="160" w:before="280"/>
      </w:pPr>
      <w:r>
        <w:rPr>
          <w:rFonts w:ascii="Calibri" w:cs="Calibri" w:eastAsia="Calibri" w:hAnsi="Calibri"/>
          <w:b/>
          <w:bCs/>
          <w:color w:val="1F4E79"/>
          <w:sz w:val="26"/>
          <w:szCs w:val="26"/>
        </w:rPr>
        <w:t xml:space="preserve">5.4 El motor de cálculo de Wasnie</w:t>
      </w:r>
    </w:p>
    <w:p>
      <w:pPr>
        <w:spacing w:after="140" w:line="320"/>
        <w:jc w:val="both"/>
      </w:pPr>
      <w:r>
        <w:rPr>
          <w:rFonts w:ascii="Calibri" w:cs="Calibri" w:eastAsia="Calibri" w:hAnsi="Calibri"/>
          <w:sz w:val="22"/>
          <w:szCs w:val="22"/>
        </w:rPr>
        <w:t xml:space="preserve">El núcleo diferencial de Wasnie será su motor de cálculo. Sus características definitorias son las siguientes:</w:t>
      </w:r>
    </w:p>
    <w:p>
      <w:pPr>
        <w:pStyle w:val="ListParagraph"/>
        <w:numPr>
          <w:ilvl w:val="0"/>
          <w:numId w:val="2"/>
        </w:numPr>
        <w:spacing w:after="80" w:line="300"/>
      </w:pPr>
      <w:r>
        <w:rPr>
          <w:rFonts w:ascii="Calibri" w:cs="Calibri" w:eastAsia="Calibri" w:hAnsi="Calibri"/>
          <w:b/>
          <w:bCs/>
          <w:sz w:val="22"/>
          <w:szCs w:val="22"/>
        </w:rPr>
        <w:t xml:space="preserve">Reglas como datos: </w:t>
      </w:r>
      <w:r>
        <w:rPr>
          <w:rFonts w:ascii="Calibri" w:cs="Calibri" w:eastAsia="Calibri" w:hAnsi="Calibri"/>
          <w:sz w:val="22"/>
          <w:szCs w:val="22"/>
        </w:rPr>
        <w:t xml:space="preserve">los planes se almacenan como estructuras de datos versionables, no como código compilado. Esto permite editar, versionar, comparar y simular planes sin redeploys.</w:t>
      </w:r>
    </w:p>
    <w:p>
      <w:pPr>
        <w:pStyle w:val="ListParagraph"/>
        <w:numPr>
          <w:ilvl w:val="0"/>
          <w:numId w:val="2"/>
        </w:numPr>
        <w:spacing w:after="80" w:line="300"/>
      </w:pPr>
      <w:r>
        <w:rPr>
          <w:rFonts w:ascii="Calibri" w:cs="Calibri" w:eastAsia="Calibri" w:hAnsi="Calibri"/>
          <w:b/>
          <w:bCs/>
          <w:sz w:val="22"/>
          <w:szCs w:val="22"/>
        </w:rPr>
        <w:t xml:space="preserve">Evaluación determinista: </w:t>
      </w:r>
      <w:r>
        <w:rPr>
          <w:rFonts w:ascii="Calibri" w:cs="Calibri" w:eastAsia="Calibri" w:hAnsi="Calibri"/>
          <w:sz w:val="22"/>
          <w:szCs w:val="22"/>
        </w:rPr>
        <w:t xml:space="preserve">ante el mismo conjunto de transacciones y la misma versión del plan, el cálculo produce siempre el mismo resultado, bit a bit.</w:t>
      </w:r>
    </w:p>
    <w:p>
      <w:pPr>
        <w:pStyle w:val="ListParagraph"/>
        <w:numPr>
          <w:ilvl w:val="0"/>
          <w:numId w:val="2"/>
        </w:numPr>
        <w:spacing w:after="80" w:line="300"/>
      </w:pPr>
      <w:r>
        <w:rPr>
          <w:rFonts w:ascii="Calibri" w:cs="Calibri" w:eastAsia="Calibri" w:hAnsi="Calibri"/>
          <w:b/>
          <w:bCs/>
          <w:sz w:val="22"/>
          <w:szCs w:val="22"/>
        </w:rPr>
        <w:t xml:space="preserve">Trazabilidad por payout: </w:t>
      </w:r>
      <w:r>
        <w:rPr>
          <w:rFonts w:ascii="Calibri" w:cs="Calibri" w:eastAsia="Calibri" w:hAnsi="Calibri"/>
          <w:sz w:val="22"/>
          <w:szCs w:val="22"/>
        </w:rPr>
        <w:t xml:space="preserve">cada payout almacena la cadena completa de transacciones, reglas, tasas y modificadores que lo produjeron, accesible mediante una vista de explicación.</w:t>
      </w:r>
    </w:p>
    <w:p>
      <w:pPr>
        <w:pStyle w:val="ListParagraph"/>
        <w:numPr>
          <w:ilvl w:val="0"/>
          <w:numId w:val="2"/>
        </w:numPr>
        <w:spacing w:after="80" w:line="300"/>
      </w:pPr>
      <w:r>
        <w:rPr>
          <w:rFonts w:ascii="Calibri" w:cs="Calibri" w:eastAsia="Calibri" w:hAnsi="Calibri"/>
          <w:b/>
          <w:bCs/>
          <w:sz w:val="22"/>
          <w:szCs w:val="22"/>
        </w:rPr>
        <w:t xml:space="preserve">Modo simulación: </w:t>
      </w:r>
      <w:r>
        <w:rPr>
          <w:rFonts w:ascii="Calibri" w:cs="Calibri" w:eastAsia="Calibri" w:hAnsi="Calibri"/>
          <w:sz w:val="22"/>
          <w:szCs w:val="22"/>
        </w:rPr>
        <w:t xml:space="preserve">cualquier plan se puede ejecutar contra datos históricos para visualizar el impacto antes de activarlo. Esto resuelve el principal miedo del responsable de compensación al modificar reglas.</w:t>
      </w:r>
    </w:p>
    <w:p>
      <w:pPr>
        <w:pStyle w:val="ListParagraph"/>
        <w:numPr>
          <w:ilvl w:val="0"/>
          <w:numId w:val="2"/>
        </w:numPr>
        <w:spacing w:after="80" w:line="300"/>
      </w:pPr>
      <w:r>
        <w:rPr>
          <w:rFonts w:ascii="Calibri" w:cs="Calibri" w:eastAsia="Calibri" w:hAnsi="Calibri"/>
          <w:b/>
          <w:bCs/>
          <w:sz w:val="22"/>
          <w:szCs w:val="22"/>
        </w:rPr>
        <w:t xml:space="preserve">Inmutabilidad por aprobación: </w:t>
      </w:r>
      <w:r>
        <w:rPr>
          <w:rFonts w:ascii="Calibri" w:cs="Calibri" w:eastAsia="Calibri" w:hAnsi="Calibri"/>
          <w:sz w:val="22"/>
          <w:szCs w:val="22"/>
        </w:rPr>
        <w:t xml:space="preserve">una vez que un período se cierra y se aprueba, los cálculos se sellan. Modificarlos requiere un ajuste explícito, que queda registrado como una operación contable separada.</w:t>
      </w:r>
    </w:p>
    <w:p>
      <w:pPr>
        <w:pStyle w:val="Heading2"/>
        <w:spacing w:after="160" w:before="280"/>
      </w:pPr>
      <w:r>
        <w:rPr>
          <w:rFonts w:ascii="Calibri" w:cs="Calibri" w:eastAsia="Calibri" w:hAnsi="Calibri"/>
          <w:b/>
          <w:bCs/>
          <w:color w:val="1F4E79"/>
          <w:sz w:val="26"/>
          <w:szCs w:val="26"/>
        </w:rPr>
        <w:t xml:space="preserve">5.5 Estrategia de mercado</w:t>
      </w:r>
    </w:p>
    <w:p>
      <w:pPr>
        <w:spacing w:after="140" w:line="320"/>
        <w:jc w:val="both"/>
      </w:pPr>
      <w:r>
        <w:rPr>
          <w:rFonts w:ascii="Calibri" w:cs="Calibri" w:eastAsia="Calibri" w:hAnsi="Calibri"/>
          <w:sz w:val="22"/>
          <w:szCs w:val="22"/>
        </w:rPr>
        <w:t xml:space="preserve">Wasnie no aspira a competir desde el primer día contra Xactly en cuentas Fortune 500. La estrategia de entrada se centra en el segmento mid-market (entre 30 y 300 representantes), donde los incumbentes son caros y rígidos, y donde la hoja de cálculo ya no es viable. Sectores prioritarios iniciales: empresas SaaS B2B, servicios profesionales y comercio digital, todos con estructuras de comisión sofisticadas pero presupuestos que no toleran implementaciones de seis cifras.</w:t>
      </w:r>
    </w:p>
    <w:p>
      <w:pPr>
        <w:spacing w:after="140" w:line="320"/>
        <w:jc w:val="both"/>
      </w:pPr>
      <w:r>
        <w:rPr>
          <w:rFonts w:ascii="Calibri" w:cs="Calibri" w:eastAsia="Calibri" w:hAnsi="Calibri"/>
          <w:sz w:val="22"/>
          <w:szCs w:val="22"/>
        </w:rPr>
        <w:t xml:space="preserve">Una vez probada la propuesta en mid-market, el camino natural de expansión es por dos vías: hacia arriba con clientes que crecen y requieren más sofisticación, y hacia el sector enterprise con capacidades de territorio, quota planning y reporting avanzado. La retirada de SAP CallidusCloud en diciembre de 2026 constituye una oportunidad concreta de migración que Wasnie puede capitalizar si llega a esa fecha con un producto sólido.</w:t>
      </w:r>
    </w:p>
    <w:p>
      <w:r>
        <w:br w:type="page"/>
      </w:r>
    </w:p>
    <w:p>
      <w:pPr>
        <w:pStyle w:val="Heading1"/>
        <w:spacing w:after="200" w:before="360"/>
      </w:pPr>
      <w:r>
        <w:rPr>
          <w:rFonts w:ascii="Calibri" w:cs="Calibri" w:eastAsia="Calibri" w:hAnsi="Calibri"/>
          <w:b/>
          <w:bCs/>
          <w:color w:val="1F4E79"/>
          <w:sz w:val="32"/>
          <w:szCs w:val="32"/>
        </w:rPr>
        <w:t xml:space="preserve">6. Roadmap de construcción</w:t>
      </w:r>
    </w:p>
    <w:p>
      <w:pPr>
        <w:spacing w:after="140" w:line="320"/>
        <w:jc w:val="both"/>
      </w:pPr>
      <w:r>
        <w:rPr>
          <w:rFonts w:ascii="Calibri" w:cs="Calibri" w:eastAsia="Calibri" w:hAnsi="Calibri"/>
          <w:sz w:val="22"/>
          <w:szCs w:val="22"/>
        </w:rPr>
        <w:t xml:space="preserve">El roadmap se estructura en cuatro fases. Cada fase entrega valor verificable y construye sobre la anterior sin reescritura.</w:t>
      </w:r>
    </w:p>
    <w:p>
      <w:pPr>
        <w:pStyle w:val="Heading2"/>
        <w:spacing w:after="160" w:before="280"/>
      </w:pPr>
      <w:r>
        <w:rPr>
          <w:rFonts w:ascii="Calibri" w:cs="Calibri" w:eastAsia="Calibri" w:hAnsi="Calibri"/>
          <w:b/>
          <w:bCs/>
          <w:color w:val="1F4E79"/>
          <w:sz w:val="26"/>
          <w:szCs w:val="26"/>
        </w:rPr>
        <w:t xml:space="preserve">Fase 1: Fundación (semanas 1 a 4)</w:t>
      </w:r>
    </w:p>
    <w:p>
      <w:pPr>
        <w:pStyle w:val="ListParagraph"/>
        <w:numPr>
          <w:ilvl w:val="0"/>
          <w:numId w:val="2"/>
        </w:numPr>
        <w:spacing w:after="80" w:line="300"/>
      </w:pPr>
      <w:r>
        <w:rPr>
          <w:rFonts w:ascii="Calibri" w:cs="Calibri" w:eastAsia="Calibri" w:hAnsi="Calibri"/>
          <w:sz w:val="22"/>
          <w:szCs w:val="22"/>
        </w:rPr>
        <w:t xml:space="preserve">Scaffold de WasnieApi y WasnieUi con Clean Architecture estricta.</w:t>
      </w:r>
    </w:p>
    <w:p>
      <w:pPr>
        <w:pStyle w:val="ListParagraph"/>
        <w:numPr>
          <w:ilvl w:val="0"/>
          <w:numId w:val="2"/>
        </w:numPr>
        <w:spacing w:after="80" w:line="300"/>
      </w:pPr>
      <w:r>
        <w:rPr>
          <w:rFonts w:ascii="Calibri" w:cs="Calibri" w:eastAsia="Calibri" w:hAnsi="Calibri"/>
          <w:sz w:val="22"/>
          <w:szCs w:val="22"/>
        </w:rPr>
        <w:t xml:space="preserve">Multi-tenancy plumbing end-to-end con discriminator column y filtros globales EF Core.</w:t>
      </w:r>
    </w:p>
    <w:p>
      <w:pPr>
        <w:pStyle w:val="ListParagraph"/>
        <w:numPr>
          <w:ilvl w:val="0"/>
          <w:numId w:val="2"/>
        </w:numPr>
        <w:spacing w:after="80" w:line="300"/>
      </w:pPr>
      <w:r>
        <w:rPr>
          <w:rFonts w:ascii="Calibri" w:cs="Calibri" w:eastAsia="Calibri" w:hAnsi="Calibri"/>
          <w:sz w:val="22"/>
          <w:szCs w:val="22"/>
        </w:rPr>
        <w:t xml:space="preserve">Autenticación JWT con refresh tokens y registro de tenants.</w:t>
      </w:r>
    </w:p>
    <w:p>
      <w:pPr>
        <w:pStyle w:val="ListParagraph"/>
        <w:numPr>
          <w:ilvl w:val="0"/>
          <w:numId w:val="2"/>
        </w:numPr>
        <w:spacing w:after="80" w:line="300"/>
      </w:pPr>
      <w:r>
        <w:rPr>
          <w:rFonts w:ascii="Calibri" w:cs="Calibri" w:eastAsia="Calibri" w:hAnsi="Calibri"/>
          <w:sz w:val="22"/>
          <w:szCs w:val="22"/>
        </w:rPr>
        <w:t xml:space="preserve">Migraciones Code-First operativas contra SQL Server.</w:t>
      </w:r>
    </w:p>
    <w:p>
      <w:pPr>
        <w:pStyle w:val="ListParagraph"/>
        <w:numPr>
          <w:ilvl w:val="0"/>
          <w:numId w:val="2"/>
        </w:numPr>
        <w:spacing w:after="80" w:line="300"/>
      </w:pPr>
      <w:r>
        <w:rPr>
          <w:rFonts w:ascii="Calibri" w:cs="Calibri" w:eastAsia="Calibri" w:hAnsi="Calibri"/>
          <w:sz w:val="22"/>
          <w:szCs w:val="22"/>
        </w:rPr>
        <w:t xml:space="preserve">Login, dashboard vacío y rutas placeholder para los módulos principales.</w:t>
      </w:r>
    </w:p>
    <w:p>
      <w:pPr>
        <w:pStyle w:val="Heading2"/>
        <w:spacing w:after="160" w:before="280"/>
      </w:pPr>
      <w:r>
        <w:rPr>
          <w:rFonts w:ascii="Calibri" w:cs="Calibri" w:eastAsia="Calibri" w:hAnsi="Calibri"/>
          <w:b/>
          <w:bCs/>
          <w:color w:val="1F4E79"/>
          <w:sz w:val="26"/>
          <w:szCs w:val="26"/>
        </w:rPr>
        <w:t xml:space="preserve">Fase 2: Modelo de dominio y catálogo (semanas 5 a 10)</w:t>
      </w:r>
    </w:p>
    <w:p>
      <w:pPr>
        <w:pStyle w:val="ListParagraph"/>
        <w:numPr>
          <w:ilvl w:val="0"/>
          <w:numId w:val="2"/>
        </w:numPr>
        <w:spacing w:after="80" w:line="300"/>
      </w:pPr>
      <w:r>
        <w:rPr>
          <w:rFonts w:ascii="Calibri" w:cs="Calibri" w:eastAsia="Calibri" w:hAnsi="Calibri"/>
          <w:sz w:val="22"/>
          <w:szCs w:val="22"/>
        </w:rPr>
        <w:t xml:space="preserve">Modelado completo del agregado Plan, con reglas, tasas, aceleradores, modificadores, topes y pisos.</w:t>
      </w:r>
    </w:p>
    <w:p>
      <w:pPr>
        <w:pStyle w:val="ListParagraph"/>
        <w:numPr>
          <w:ilvl w:val="0"/>
          <w:numId w:val="2"/>
        </w:numPr>
        <w:spacing w:after="80" w:line="300"/>
      </w:pPr>
      <w:r>
        <w:rPr>
          <w:rFonts w:ascii="Calibri" w:cs="Calibri" w:eastAsia="Calibri" w:hAnsi="Calibri"/>
          <w:sz w:val="22"/>
          <w:szCs w:val="22"/>
        </w:rPr>
        <w:t xml:space="preserve">Gestión de payees, jerarquías y asignación de planes.</w:t>
      </w:r>
    </w:p>
    <w:p>
      <w:pPr>
        <w:pStyle w:val="ListParagraph"/>
        <w:numPr>
          <w:ilvl w:val="0"/>
          <w:numId w:val="2"/>
        </w:numPr>
        <w:spacing w:after="80" w:line="300"/>
      </w:pPr>
      <w:r>
        <w:rPr>
          <w:rFonts w:ascii="Calibri" w:cs="Calibri" w:eastAsia="Calibri" w:hAnsi="Calibri"/>
          <w:sz w:val="22"/>
          <w:szCs w:val="22"/>
        </w:rPr>
        <w:t xml:space="preserve">Ingesta manual y por API de transacciones, con validación y categorización.</w:t>
      </w:r>
    </w:p>
    <w:p>
      <w:pPr>
        <w:pStyle w:val="ListParagraph"/>
        <w:numPr>
          <w:ilvl w:val="0"/>
          <w:numId w:val="2"/>
        </w:numPr>
        <w:spacing w:after="80" w:line="300"/>
      </w:pPr>
      <w:r>
        <w:rPr>
          <w:rFonts w:ascii="Calibri" w:cs="Calibri" w:eastAsia="Calibri" w:hAnsi="Calibri"/>
          <w:sz w:val="22"/>
          <w:szCs w:val="22"/>
        </w:rPr>
        <w:t xml:space="preserve">UI para gestionar payees, transacciones y planes en modo lectura.</w:t>
      </w:r>
    </w:p>
    <w:p>
      <w:pPr>
        <w:pStyle w:val="Heading2"/>
        <w:spacing w:after="160" w:before="280"/>
      </w:pPr>
      <w:r>
        <w:rPr>
          <w:rFonts w:ascii="Calibri" w:cs="Calibri" w:eastAsia="Calibri" w:hAnsi="Calibri"/>
          <w:b/>
          <w:bCs/>
          <w:color w:val="1F4E79"/>
          <w:sz w:val="26"/>
          <w:szCs w:val="26"/>
        </w:rPr>
        <w:t xml:space="preserve">Fase 3: Motor de cálculo (semanas 11 a 18)</w:t>
      </w:r>
    </w:p>
    <w:p>
      <w:pPr>
        <w:pStyle w:val="ListParagraph"/>
        <w:numPr>
          <w:ilvl w:val="0"/>
          <w:numId w:val="2"/>
        </w:numPr>
        <w:spacing w:after="80" w:line="300"/>
      </w:pPr>
      <w:r>
        <w:rPr>
          <w:rFonts w:ascii="Calibri" w:cs="Calibri" w:eastAsia="Calibri" w:hAnsi="Calibri"/>
          <w:sz w:val="22"/>
          <w:szCs w:val="22"/>
        </w:rPr>
        <w:t xml:space="preserve">Diseño y prototipo del rule engine declarativo en C# puro.</w:t>
      </w:r>
    </w:p>
    <w:p>
      <w:pPr>
        <w:pStyle w:val="ListParagraph"/>
        <w:numPr>
          <w:ilvl w:val="0"/>
          <w:numId w:val="2"/>
        </w:numPr>
        <w:spacing w:after="80" w:line="300"/>
      </w:pPr>
      <w:r>
        <w:rPr>
          <w:rFonts w:ascii="Calibri" w:cs="Calibri" w:eastAsia="Calibri" w:hAnsi="Calibri"/>
          <w:sz w:val="22"/>
          <w:szCs w:val="22"/>
        </w:rPr>
        <w:t xml:space="preserve">Evaluación determinista de planes contra transacciones, generación de payouts auditables.</w:t>
      </w:r>
    </w:p>
    <w:p>
      <w:pPr>
        <w:pStyle w:val="ListParagraph"/>
        <w:numPr>
          <w:ilvl w:val="0"/>
          <w:numId w:val="2"/>
        </w:numPr>
        <w:spacing w:after="80" w:line="300"/>
      </w:pPr>
      <w:r>
        <w:rPr>
          <w:rFonts w:ascii="Calibri" w:cs="Calibri" w:eastAsia="Calibri" w:hAnsi="Calibri"/>
          <w:sz w:val="22"/>
          <w:szCs w:val="22"/>
        </w:rPr>
        <w:t xml:space="preserve">Modo simulación: ejecutar planes contra histórico sin generar payouts oficiales.</w:t>
      </w:r>
    </w:p>
    <w:p>
      <w:pPr>
        <w:pStyle w:val="ListParagraph"/>
        <w:numPr>
          <w:ilvl w:val="0"/>
          <w:numId w:val="2"/>
        </w:numPr>
        <w:spacing w:after="80" w:line="300"/>
      </w:pPr>
      <w:r>
        <w:rPr>
          <w:rFonts w:ascii="Calibri" w:cs="Calibri" w:eastAsia="Calibri" w:hAnsi="Calibri"/>
          <w:sz w:val="22"/>
          <w:szCs w:val="22"/>
        </w:rPr>
        <w:t xml:space="preserve">Vista de explicación por payout: cadena completa de cómo se obtuvo cada cifra.</w:t>
      </w:r>
    </w:p>
    <w:p>
      <w:pPr>
        <w:pStyle w:val="ListParagraph"/>
        <w:numPr>
          <w:ilvl w:val="0"/>
          <w:numId w:val="2"/>
        </w:numPr>
        <w:spacing w:after="80" w:line="300"/>
      </w:pPr>
      <w:r>
        <w:rPr>
          <w:rFonts w:ascii="Calibri" w:cs="Calibri" w:eastAsia="Calibri" w:hAnsi="Calibri"/>
          <w:sz w:val="22"/>
          <w:szCs w:val="22"/>
        </w:rPr>
        <w:t xml:space="preserve">UI del Plan Designer: composición visual de reglas, condiciones y tasas.</w:t>
      </w:r>
    </w:p>
    <w:p>
      <w:pPr>
        <w:pStyle w:val="Heading2"/>
        <w:spacing w:after="160" w:before="280"/>
      </w:pPr>
      <w:r>
        <w:rPr>
          <w:rFonts w:ascii="Calibri" w:cs="Calibri" w:eastAsia="Calibri" w:hAnsi="Calibri"/>
          <w:b/>
          <w:bCs/>
          <w:color w:val="1F4E79"/>
          <w:sz w:val="26"/>
          <w:szCs w:val="26"/>
        </w:rPr>
        <w:t xml:space="preserve">Fase 4: Workflow, reporting y cierre (semanas 19 a 26)</w:t>
      </w:r>
    </w:p>
    <w:p>
      <w:pPr>
        <w:pStyle w:val="ListParagraph"/>
        <w:numPr>
          <w:ilvl w:val="0"/>
          <w:numId w:val="2"/>
        </w:numPr>
        <w:spacing w:after="80" w:line="300"/>
      </w:pPr>
      <w:r>
        <w:rPr>
          <w:rFonts w:ascii="Calibri" w:cs="Calibri" w:eastAsia="Calibri" w:hAnsi="Calibri"/>
          <w:sz w:val="22"/>
          <w:szCs w:val="22"/>
        </w:rPr>
        <w:t xml:space="preserve">Workflow de disputes con SLA, asignación y trazabilidad.</w:t>
      </w:r>
    </w:p>
    <w:p>
      <w:pPr>
        <w:pStyle w:val="ListParagraph"/>
        <w:numPr>
          <w:ilvl w:val="0"/>
          <w:numId w:val="2"/>
        </w:numPr>
        <w:spacing w:after="80" w:line="300"/>
      </w:pPr>
      <w:r>
        <w:rPr>
          <w:rFonts w:ascii="Calibri" w:cs="Calibri" w:eastAsia="Calibri" w:hAnsi="Calibri"/>
          <w:sz w:val="22"/>
          <w:szCs w:val="22"/>
        </w:rPr>
        <w:t xml:space="preserve">Cierre de período: aprobación, sellado de cálculos y exportación a payroll.</w:t>
      </w:r>
    </w:p>
    <w:p>
      <w:pPr>
        <w:pStyle w:val="ListParagraph"/>
        <w:numPr>
          <w:ilvl w:val="0"/>
          <w:numId w:val="2"/>
        </w:numPr>
        <w:spacing w:after="80" w:line="300"/>
      </w:pPr>
      <w:r>
        <w:rPr>
          <w:rFonts w:ascii="Calibri" w:cs="Calibri" w:eastAsia="Calibri" w:hAnsi="Calibri"/>
          <w:sz w:val="22"/>
          <w:szCs w:val="22"/>
        </w:rPr>
        <w:t xml:space="preserve">Portal del representante: dashboard en tiempo real, simulador de what-if, histórico personal.</w:t>
      </w:r>
    </w:p>
    <w:p>
      <w:pPr>
        <w:pStyle w:val="ListParagraph"/>
        <w:numPr>
          <w:ilvl w:val="0"/>
          <w:numId w:val="2"/>
        </w:numPr>
        <w:spacing w:after="80" w:line="300"/>
      </w:pPr>
      <w:r>
        <w:rPr>
          <w:rFonts w:ascii="Calibri" w:cs="Calibri" w:eastAsia="Calibri" w:hAnsi="Calibri"/>
          <w:sz w:val="22"/>
          <w:szCs w:val="22"/>
        </w:rPr>
        <w:t xml:space="preserve">Reporting básico para managers y finanzas.</w:t>
      </w:r>
    </w:p>
    <w:p>
      <w:pPr>
        <w:pStyle w:val="ListParagraph"/>
        <w:numPr>
          <w:ilvl w:val="0"/>
          <w:numId w:val="2"/>
        </w:numPr>
        <w:spacing w:after="80" w:line="300"/>
      </w:pPr>
      <w:r>
        <w:rPr>
          <w:rFonts w:ascii="Calibri" w:cs="Calibri" w:eastAsia="Calibri" w:hAnsi="Calibri"/>
          <w:sz w:val="22"/>
          <w:szCs w:val="22"/>
        </w:rPr>
        <w:t xml:space="preserve">Conectores iniciales (Salesforce, HubSpot) y endpoint genérico de ingesta.</w:t>
      </w:r>
    </w:p>
    <w:p>
      <w:pPr>
        <w:pStyle w:val="Heading1"/>
        <w:spacing w:after="200" w:before="360"/>
      </w:pPr>
      <w:r>
        <w:rPr>
          <w:rFonts w:ascii="Calibri" w:cs="Calibri" w:eastAsia="Calibri" w:hAnsi="Calibri"/>
          <w:b/>
          <w:bCs/>
          <w:color w:val="1F4E79"/>
          <w:sz w:val="32"/>
          <w:szCs w:val="32"/>
        </w:rPr>
        <w:t xml:space="preserve">7. Conclusión</w:t>
      </w:r>
    </w:p>
    <w:p>
      <w:pPr>
        <w:spacing w:after="140" w:line="320"/>
        <w:jc w:val="both"/>
      </w:pPr>
      <w:r>
        <w:rPr>
          <w:rFonts w:ascii="Calibri" w:cs="Calibri" w:eastAsia="Calibri" w:hAnsi="Calibri"/>
          <w:sz w:val="22"/>
          <w:szCs w:val="22"/>
        </w:rPr>
        <w:t xml:space="preserve">El mercado SPM es estructuralmente atractivo: grande, en crecimiento, con clientes que pagan bien y con incumbentes cuya arquitectura está envejeciendo. Las quejas que los usuarios reportan no son superficiales: son consecuencia de decisiones tomadas hace una década, cuando configurar comisiones por consultor era aceptable y el batch nocturno era el estándar.</w:t>
      </w:r>
    </w:p>
    <w:p>
      <w:pPr>
        <w:spacing w:after="140" w:line="320"/>
        <w:jc w:val="both"/>
      </w:pPr>
      <w:r>
        <w:rPr>
          <w:rFonts w:ascii="Calibri" w:cs="Calibri" w:eastAsia="Calibri" w:hAnsi="Calibri"/>
          <w:sz w:val="22"/>
          <w:szCs w:val="22"/>
        </w:rPr>
        <w:t xml:space="preserve">Wasnie nace con la oportunidad de construir desde cero, con stack moderno, multi-tenancy nativo, motor de cálculo declarativo y experiencia self-serve. No necesita superar a Xactly en su propio juego: necesita ofrecer al cliente mediano un camino más corto al valor, con menos dependencia de consultoría, más transparencia y un ciclo de cambio que respete cómo evolucionan realmente los planes de compensación.</w:t>
      </w:r>
    </w:p>
    <w:p>
      <w:pPr>
        <w:spacing w:after="140" w:line="320"/>
        <w:jc w:val="both"/>
      </w:pPr>
      <w:r>
        <w:rPr>
          <w:rFonts w:ascii="Calibri" w:cs="Calibri" w:eastAsia="Calibri" w:hAnsi="Calibri"/>
          <w:sz w:val="22"/>
          <w:szCs w:val="22"/>
        </w:rPr>
        <w:t xml:space="preserve">La construcción técnica es ambiciosa pero abordable con disciplina arquitectónica y foco. Las fases siguientes del proyecto detallarán el modelo de dominio, la sintaxis de reglas y la implementación del motor de cálculo, que constituyen el corazón competitivo de Wasnie.</w:t>
      </w:r>
    </w:p>
    <w:p>
      <w:pPr>
        <w:spacing w:after="200" w:before="600"/>
        <w:jc w:val="center"/>
      </w:pPr>
      <w:r>
        <w:rPr>
          <w:rFonts w:ascii="Calibri" w:cs="Calibri" w:eastAsia="Calibri" w:hAnsi="Calibri"/>
          <w:i/>
          <w:iCs/>
          <w:color w:val="595959"/>
          <w:sz w:val="22"/>
          <w:szCs w:val="22"/>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Calibri" w:cs="Calibri" w:eastAsia="Calibri" w:hAnsi="Calibri"/>
        <w:i/>
        <w:iCs/>
        <w:color w:val="595959"/>
        <w:sz w:val="18"/>
        <w:szCs w:val="18"/>
      </w:rPr>
      <w:t xml:space="preserve">Wasnie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Wasnie — Diseño de una plataforma moderna de SPM</dc:title>
  <dc:creator>Rodolfo A. Calvo Jaubert</dc:creator>
  <dc:description>Informe técnico sobre el mercado SPM y el diseño de Wasnie</dc:description>
  <cp:lastModifiedBy>Un-named</cp:lastModifiedBy>
  <cp:revision>1</cp:revision>
  <dcterms:created xsi:type="dcterms:W3CDTF">2026-05-22T08:54:38.443Z</dcterms:created>
  <dcterms:modified xsi:type="dcterms:W3CDTF">2026-05-22T08:54:38.443Z</dcterms:modified>
</cp:coreProperties>
</file>

<file path=docProps/custom.xml><?xml version="1.0" encoding="utf-8"?>
<Properties xmlns="http://schemas.openxmlformats.org/officeDocument/2006/custom-properties" xmlns:vt="http://schemas.openxmlformats.org/officeDocument/2006/docPropsVTypes"/>
</file>