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Calibri" w:cs="Calibri" w:eastAsia="Calibri" w:hAnsi="Calibri"/>
          <w:b/>
          <w:bCs/>
          <w:color w:val="1F3A5F"/>
          <w:sz w:val="96"/>
          <w:szCs w:val="96"/>
        </w:rPr>
        <w:t xml:space="preserve">WASNIE</w:t>
      </w:r>
    </w:p>
    <w:p>
      <w:pPr>
        <w:spacing w:after="120"/>
        <w:jc w:val="center"/>
      </w:pPr>
      <w:r>
        <w:rPr>
          <w:rFonts w:ascii="Calibri" w:cs="Calibri" w:eastAsia="Calibri" w:hAnsi="Calibri"/>
          <w:color w:val="2E75B6"/>
          <w:sz w:val="36"/>
          <w:szCs w:val="36"/>
        </w:rPr>
        <w:t xml:space="preserve">Modern Sales Performance Management</w:t>
      </w:r>
    </w:p>
    <w:p>
      <w:pPr>
        <w:spacing w:after="1200"/>
        <w:jc w:val="center"/>
      </w:pPr>
      <w:r>
        <w:rPr>
          <w:rFonts w:ascii="Calibri" w:cs="Calibri" w:eastAsia="Calibri" w:hAnsi="Calibri"/>
          <w:color w:val="2E75B6"/>
          <w:sz w:val="36"/>
          <w:szCs w:val="36"/>
        </w:rPr>
        <w:t xml:space="preserve">for the Mid-Market</w:t>
      </w:r>
    </w:p>
    <w:p>
      <w:pPr>
        <w:pBdr>
          <w:bottom w:val="single" w:color="1F3A5F" w:sz="12" w:space="1"/>
        </w:pBdr>
        <w:spacing w:after="480"/>
      </w:pPr>
      <w:r>
        <w:t xml:space="preserve"/>
      </w:r>
    </w:p>
    <w:p>
      <w:pPr>
        <w:spacing w:after="120"/>
        <w:jc w:val="center"/>
      </w:pPr>
      <w:r>
        <w:rPr>
          <w:rFonts w:ascii="Calibri" w:cs="Calibri" w:eastAsia="Calibri" w:hAnsi="Calibri"/>
          <w:color w:val="1A1A1A"/>
          <w:sz w:val="32"/>
          <w:szCs w:val="32"/>
        </w:rPr>
        <w:t xml:space="preserve">Business Brief</w:t>
      </w:r>
    </w:p>
    <w:p>
      <w:pPr>
        <w:spacing w:after="2400"/>
        <w:jc w:val="center"/>
      </w:pPr>
      <w:r>
        <w:rPr>
          <w:i/>
          <w:iCs/>
          <w:color w:val="595959"/>
          <w:sz w:val="22"/>
          <w:szCs w:val="22"/>
        </w:rPr>
        <w:t xml:space="preserve">Market Analysis, Product Vision, and Go-to-Market Strategy</w:t>
      </w:r>
    </w:p>
    <w:p>
      <w:pPr>
        <w:spacing w:after="120"/>
        <w:jc w:val="center"/>
      </w:pPr>
      <w:r>
        <w:rPr>
          <w:color w:val="1A1A1A"/>
          <w:sz w:val="24"/>
          <w:szCs w:val="24"/>
        </w:rPr>
        <w:t xml:space="preserve">Rodolfo Calvo</w:t>
      </w:r>
    </w:p>
    <w:p>
      <w:pPr>
        <w:spacing w:after="120"/>
        <w:jc w:val="center"/>
      </w:pPr>
      <w:r>
        <w:rPr>
          <w:i/>
          <w:iCs/>
          <w:color w:val="595959"/>
          <w:sz w:val="22"/>
          <w:szCs w:val="22"/>
        </w:rPr>
        <w:t xml:space="preserve">Founder</w:t>
      </w:r>
    </w:p>
    <w:p>
      <w:pPr>
        <w:spacing w:after="120"/>
        <w:jc w:val="center"/>
      </w:pPr>
      <w:r>
        <w:rPr>
          <w:color w:val="595959"/>
          <w:sz w:val="22"/>
          <w:szCs w:val="22"/>
        </w:rPr>
        <w:t xml:space="preserve">Katowice, Poland</w:t>
      </w:r>
    </w:p>
    <w:p>
      <w:pPr>
        <w:jc w:val="center"/>
      </w:pPr>
      <w:r>
        <w:rPr>
          <w:color w:val="595959"/>
          <w:sz w:val="20"/>
          <w:szCs w:val="20"/>
        </w:rPr>
        <w:t xml:space="preserve">May 2026 · Version 1.0</w:t>
      </w:r>
    </w:p>
    <w:p>
      <w:r>
        <w:br w:type="page"/>
      </w:r>
    </w:p>
    <w:p>
      <w:pPr>
        <w:pStyle w:val="Heading1"/>
        <w:spacing w:after="360"/>
      </w:pPr>
      <w:r>
        <w:rPr>
          <w:color w:val="1F3A5F"/>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color w:val="1F3A5F"/>
        </w:rPr>
        <w:t xml:space="preserve">1. Executive Summary</w:t>
      </w:r>
    </w:p>
    <w:p>
      <w:pPr>
        <w:spacing w:after="120" w:line="320"/>
        <w:jc w:val="both"/>
      </w:pPr>
      <w:r>
        <w:t xml:space="preserve">Sales Performance Management (SPM) is the discipline of designing, calculating, and communicating variable compensation to the people who sell. It is a category that quietly moves billions of dollars per year in payroll across global enterprises. It is also a category in which the available tools are either prohibitively expensive and slow to implement, or aimed at companies of a size most organizations will never reach.</w:t>
      </w:r>
    </w:p>
    <w:p>
      <w:pPr>
        <w:spacing w:after="120" w:line="320"/>
        <w:jc w:val="both"/>
      </w:pPr>
      <w:r>
        <w:t xml:space="preserve">Wasnie is a modern SPM platform built for the mid-market: companies of fifty to three hundred salespeople. The segment is materially underserved. Established enterprise vendors require six to eighteen month implementations and contract values that begin in the high six figures. Newer mid-market entrants exist but inherit complexity from their enterprise ambitions and remain difficult to operate without external consultants. Most mid-market companies in this segment continue to run their commissions on spreadsheets, with the operational risk and frustration that this implies.</w:t>
      </w:r>
    </w:p>
    <w:p>
      <w:pPr>
        <w:spacing w:after="120" w:line="320"/>
        <w:jc w:val="both"/>
      </w:pPr>
      <w:r>
        <w:t xml:space="preserve">Wasnie is positioned to capture this segment through three deliberate choices: a self-serve product designed to be operated by the customer rather than configured by consultants, a transparent pricing model with clear unit economics, and a product architecture built from day one for auditability and trust. Wasnie is not, and will not become, an attempt to compete with Xactly or SAP Commissions at the enterprise tier.</w:t>
      </w:r>
    </w:p>
    <w:p>
      <w:pPr>
        <w:spacing w:after="120" w:line="320"/>
        <w:jc w:val="both"/>
      </w:pPr>
      <w:r>
        <w:t xml:space="preserve">This document outlines the market context that creates the opportunity, the competitive landscape Wasnie operates within, the product vision, the target customer profile, the business model, and the roadmap that takes the product from its current state — Phase 1, near completion in May 2026 — to a market-ready Phase 4 deliverable.</w:t>
      </w:r>
    </w:p>
    <w:p>
      <w:pP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F2F5F8" w:val="clear"/>
            <w:tcMar>
              <w:top w:type="dxa" w:w="200"/>
              <w:left w:type="dxa" w:w="280"/>
              <w:bottom w:type="dxa" w:w="200"/>
              <w:right w:type="dxa" w:w="200"/>
            </w:tcMar>
          </w:tcPr>
          <w:p>
            <w:pPr>
              <w:jc w:val="both"/>
            </w:pPr>
            <w:r>
              <w:rPr>
                <w:i/>
                <w:iCs/>
                <w:color w:val="1F3A5F"/>
                <w:sz w:val="22"/>
                <w:szCs w:val="22"/>
              </w:rPr>
              <w:t xml:space="preserve">Wasnie is built on a single premise: a mid-market sales operations team should be able to run their commissions themselves, in a tool they understand, with numbers their salespeople trust. That premise does not require enterprise architecture to fulfill. It requires the discipline to refuse complexity.</w:t>
            </w:r>
          </w:p>
        </w:tc>
      </w:tr>
    </w:tbl>
    <w:p>
      <w:r>
        <w:br w:type="page"/>
      </w:r>
    </w:p>
    <w:p>
      <w:pPr>
        <w:pStyle w:val="Heading1"/>
        <w:spacing w:after="240" w:before="480"/>
      </w:pPr>
      <w:r>
        <w:rPr>
          <w:color w:val="1F3A5F"/>
        </w:rPr>
        <w:t xml:space="preserve">2. The Problem</w:t>
      </w:r>
    </w:p>
    <w:p>
      <w:pPr>
        <w:pStyle w:val="Heading2"/>
        <w:spacing w:after="180" w:before="360"/>
      </w:pPr>
      <w:r>
        <w:rPr>
          <w:color w:val="1F3A5F"/>
        </w:rPr>
        <w:t xml:space="preserve">2.1 What is Sales Performance Management</w:t>
      </w:r>
    </w:p>
    <w:p>
      <w:pPr>
        <w:spacing w:after="120" w:line="320"/>
        <w:jc w:val="both"/>
      </w:pPr>
      <w:r>
        <w:t xml:space="preserve">Sales Performance Management refers to the set of capabilities that govern how a company pays its sales organization. A complete SPM system covers the design of compensation plans, the assignment of payees to those plans, the management of quotas and territories, the ingestion of transactions from CRM or ERP systems, the calculation of commissions according to the plan logic, the workflow for reviewing disputes, and the reporting required by sales operations and finance.</w:t>
      </w:r>
    </w:p>
    <w:p>
      <w:pPr>
        <w:spacing w:after="120" w:line="320"/>
        <w:jc w:val="both"/>
      </w:pPr>
      <w:r>
        <w:t xml:space="preserve">The category sits at the intersection of three functions: sales, which designs the plans to drive behavior; operations, which administers the plans; and finance, which approves and accrues the payouts. Each function has different priorities, and the platform must serve all three.</w:t>
      </w:r>
    </w:p>
    <w:p>
      <w:pPr>
        <w:pStyle w:val="Heading2"/>
        <w:spacing w:after="180" w:before="360"/>
      </w:pPr>
      <w:r>
        <w:rPr>
          <w:color w:val="1F3A5F"/>
        </w:rPr>
        <w:t xml:space="preserve">2.2 The current state of mid-market SPM</w:t>
      </w:r>
    </w:p>
    <w:p>
      <w:pPr>
        <w:spacing w:after="120" w:line="320"/>
        <w:jc w:val="both"/>
      </w:pPr>
      <w:r>
        <w:t xml:space="preserve">Industry data is consistent on what mid-market sales operations teams experience today. Roughly three quarters of companies make at least one change to their compensation plans every year. Half of all sales operations leaders identify plan flexibility as their top concern, ahead of accuracy and integration. Only fifty-two percent of companies offer their representatives real-time visibility into earned commissions, and only fifty percent give them visibility into potential commissions. These are not edge cases. They are the modal experience of a mid-market sales rep.</w:t>
      </w:r>
    </w:p>
    <w:p>
      <w:pPr>
        <w:spacing w:after="120" w:line="320"/>
        <w:jc w:val="both"/>
      </w:pPr>
      <w:r>
        <w:t xml:space="preserve">The operational reality behind these numbers is direct. A typical mid-market sales operations manager maintains between five and fifteen separate spreadsheet files for each fiscal quarter, manually reconciles them with data exported from the CRM, and answers individual questions from representatives every week throughout the quarter. When a plan changes mid-quarter, the changes are applied by editing spreadsheets and recalculating manually. Disputes are resolved over email. Audit trails, when they exist, are folders of dated files.</w:t>
      </w:r>
    </w:p>
    <w:p>
      <w:pPr>
        <w:pStyle w:val="Heading2"/>
        <w:spacing w:after="180" w:before="360"/>
      </w:pPr>
      <w:r>
        <w:rPr>
          <w:color w:val="1F3A5F"/>
        </w:rPr>
        <w:t xml:space="preserve">2.3 Why this matters</w:t>
      </w:r>
    </w:p>
    <w:p>
      <w:pPr>
        <w:spacing w:after="120" w:line="320"/>
        <w:jc w:val="both"/>
      </w:pPr>
      <w:r>
        <w:t xml:space="preserve">Compensation is the most direct expression of company strategy to the sales organization. A rep behaves according to how they get paid. When the calculation is opaque, the strategic intent is lost. When the calculation is wrong, trust is lost. When the calculation is right but takes three weeks to verify, time is lost.</w:t>
      </w:r>
    </w:p>
    <w:p>
      <w:pPr>
        <w:spacing w:after="120" w:line="320"/>
        <w:jc w:val="both"/>
      </w:pPr>
      <w:r>
        <w:t xml:space="preserve">The cost of running compensation badly is not theoretical. Sales operations leaders quoted in industry surveys consistently cite weekend work, quarter-end fire drills, and unresolved disputes as the dominant friction points of their role. The cost to the company is misaligned sales effort, payout disputes, finance reconciliation overhead, and the time of the operations team that would otherwise drive growth initiatives.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F2F5F8" w:val="clear"/>
            <w:tcMar>
              <w:top w:type="dxa" w:w="200"/>
              <w:left w:type="dxa" w:w="280"/>
              <w:bottom w:type="dxa" w:w="200"/>
              <w:right w:type="dxa" w:w="200"/>
            </w:tcMar>
          </w:tcPr>
          <w:p>
            <w:pPr>
              <w:jc w:val="both"/>
            </w:pPr>
            <w:r>
              <w:rPr>
                <w:i/>
                <w:iCs/>
                <w:color w:val="1F3A5F"/>
                <w:sz w:val="22"/>
                <w:szCs w:val="22"/>
              </w:rPr>
              <w:t xml:space="preserve">A mid-market sales operations team is asked to run a process that determines how their colleagues get paid, using tools that were designed for a smaller scale, in a context where the consequences of error are personal and immediate. Wasnie exists because the available alternatives do not solve this.</w:t>
            </w:r>
          </w:p>
        </w:tc>
      </w:tr>
    </w:tbl>
    <w:p>
      <w:r>
        <w:br w:type="page"/>
      </w:r>
    </w:p>
    <w:p>
      <w:pPr>
        <w:pStyle w:val="Heading1"/>
        <w:spacing w:after="240" w:before="480"/>
      </w:pPr>
      <w:r>
        <w:rPr>
          <w:color w:val="1F3A5F"/>
        </w:rPr>
        <w:t xml:space="preserve">3. The Opportunity</w:t>
      </w:r>
    </w:p>
    <w:p>
      <w:pPr>
        <w:pStyle w:val="Heading2"/>
        <w:spacing w:after="180" w:before="360"/>
      </w:pPr>
      <w:r>
        <w:rPr>
          <w:color w:val="1F3A5F"/>
        </w:rPr>
        <w:t xml:space="preserve">3.1 Market size and growth</w:t>
      </w:r>
    </w:p>
    <w:p>
      <w:pPr>
        <w:spacing w:after="120" w:line="320"/>
        <w:jc w:val="both"/>
      </w:pPr>
      <w:r>
        <w:t xml:space="preserve">The global SPM software market exceeds three and a half billion dollars in annual spend and is reported to be growing at a compound annual rate above ten percent. Industry analysts attribute this growth to several converging factors: continued increases in sales force complexity, the move from on-premises to SaaS in this category, and a generational shift in sales operations leadership from finance-trained operators to revenue-operations professionals who expect modern software.</w:t>
      </w:r>
    </w:p>
    <w:p>
      <w:pPr>
        <w:spacing w:after="120" w:line="320"/>
        <w:jc w:val="both"/>
      </w:pPr>
      <w:r>
        <w:t xml:space="preserve">Within the broader SPM market, the mid-market segment — companies with between fifty and three hundred sales-eligible employees — is estimated at roughly thirty to forty percent of total addressable spend, depending on the methodology. This is the segment Wasnie addresses.</w:t>
      </w:r>
    </w:p>
    <w:p>
      <w:pPr>
        <w:pStyle w:val="Heading2"/>
        <w:spacing w:after="180" w:before="360"/>
      </w:pPr>
      <w:r>
        <w:rPr>
          <w:color w:val="1F3A5F"/>
        </w:rPr>
        <w:t xml:space="preserve">3.2 Why now</w:t>
      </w:r>
    </w:p>
    <w:p>
      <w:pPr>
        <w:spacing w:after="120" w:line="320"/>
        <w:jc w:val="both"/>
      </w:pPr>
      <w:r>
        <w:t xml:space="preserve">Three catalysts make this an unusual moment to enter the mid-market SPM category.</w:t>
      </w:r>
    </w:p>
    <w:p>
      <w:pPr>
        <w:spacing w:after="120" w:line="320"/>
        <w:jc w:val="both"/>
      </w:pPr>
      <w:r>
        <w:t xml:space="preserve">First, SAP announced the end-of-life of CallidusCloud, one of the most widely deployed enterprise SPM systems, for December 2026. This forces thousands of customers to evaluate alternatives. While most will move to enterprise replacements, a meaningful subset will use this disruption to evaluate whether their requirements have, in practice, evolved closer to mid-market simplicity than enterprise complexity.</w:t>
      </w:r>
    </w:p>
    <w:p>
      <w:pPr>
        <w:spacing w:after="120" w:line="320"/>
        <w:jc w:val="both"/>
      </w:pPr>
      <w:r>
        <w:t xml:space="preserve">Second, the consolidation of the mid-market SPM challenger landscape has reduced the number of viable independent options. Salesforce acquired Spiff, which subsequently rebranded operations and disrupted the customer experience of one of the most popular mid-market alternatives. CaptivateIQ continues to invest in enterprise capabilities, gradually moving up-market in pricing and complexity. This consolidation re-opens the mid-market category for a new entrant.</w:t>
      </w:r>
    </w:p>
    <w:p>
      <w:pPr>
        <w:spacing w:after="120" w:line="320"/>
        <w:jc w:val="both"/>
      </w:pPr>
      <w:r>
        <w:t xml:space="preserve">Third, the operational expectations of mid-market sales operations leaders have moved decisively toward self-serve software. The current generation of sales operations professionals is unwilling to accept six-month implementations and dedicated consultants for software that, in their understanding, should be configurable in days.</w:t>
      </w:r>
    </w:p>
    <w:p>
      <w:pPr>
        <w:pStyle w:val="Heading2"/>
        <w:spacing w:after="180" w:before="360"/>
      </w:pPr>
      <w:r>
        <w:rPr>
          <w:color w:val="1F3A5F"/>
        </w:rPr>
        <w:t xml:space="preserve">3.3 What success looks like for an entrant</w:t>
      </w:r>
    </w:p>
    <w:p>
      <w:pPr>
        <w:spacing w:after="120" w:line="320"/>
        <w:jc w:val="both"/>
      </w:pPr>
      <w:r>
        <w:t xml:space="preserve">A new SPM platform succeeds in this segment if it achieves three measurable outcomes within its first two years of commercial activity. It must achieve customer time-to-first-value of under thirty days from contract signature. It must achieve a net revenue retention rate above one hundred and ten percent, indicating that customers find the platform increasingly valuable and expand their usage. And it must demonstrate operational gross margins above seventy percent, indicating that the product is sufficiently self-serve to scale without proportional growth in customer success headcount.</w:t>
      </w:r>
    </w:p>
    <w:p>
      <w:pPr>
        <w:spacing w:after="120" w:line="320"/>
        <w:jc w:val="both"/>
      </w:pPr>
      <w:r>
        <w:t xml:space="preserve">Wasnie is architected from inception to make these outcomes achievable.</w:t>
      </w:r>
    </w:p>
    <w:p>
      <w:r>
        <w:br w:type="page"/>
      </w:r>
    </w:p>
    <w:p>
      <w:pPr>
        <w:pStyle w:val="Heading1"/>
        <w:spacing w:after="240" w:before="480"/>
      </w:pPr>
      <w:r>
        <w:rPr>
          <w:color w:val="1F3A5F"/>
        </w:rPr>
        <w:t xml:space="preserve">4. Competitive Landscape</w:t>
      </w:r>
    </w:p>
    <w:p>
      <w:pPr>
        <w:pStyle w:val="Heading2"/>
        <w:spacing w:after="180" w:before="360"/>
      </w:pPr>
      <w:r>
        <w:rPr>
          <w:color w:val="1F3A5F"/>
        </w:rPr>
        <w:t xml:space="preserve">4.1 Enterprise incumbents</w:t>
      </w:r>
    </w:p>
    <w:p>
      <w:pPr>
        <w:spacing w:after="120" w:line="320"/>
        <w:jc w:val="both"/>
      </w:pPr>
      <w:r>
        <w:t xml:space="preserve">The enterprise tier of SPM is dominated by three established vendors. Xactly Corp has been the long-standing market leader by revenue, with strong incumbency at large global enterprises and a deep partner ecosystem of consulting firms specialized in its implementation. SAP Commissions, formerly CallidusCloud, retains a substantial customer base, although the December 2026 sunset of the CallidusCloud product line is forcing migration. Varicent, formerly an IBM property, focuses on complex enterprise compensation including financial services and pharmaceutical commission structures.</w:t>
      </w:r>
    </w:p>
    <w:p>
      <w:pPr>
        <w:spacing w:after="120" w:line="320"/>
        <w:jc w:val="both"/>
      </w:pPr>
      <w:r>
        <w:t xml:space="preserve">These vendors are not Wasnie's competitors. Their architectures, pricing models, and implementation requirements are appropriate for organizations with thousands of representatives, dozens of plan variants, and dedicated SPM administration teams. A mid-market company evaluating them typically concludes the implementation cost alone exceeds the next two years of subscription value.</w:t>
      </w:r>
    </w:p>
    <w:p>
      <w:pPr>
        <w:pStyle w:val="Heading2"/>
        <w:spacing w:after="180" w:before="360"/>
      </w:pPr>
      <w:r>
        <w:rPr>
          <w:color w:val="1F3A5F"/>
        </w:rPr>
        <w:t xml:space="preserve">4.2 Mid-market direct competitors</w:t>
      </w:r>
    </w:p>
    <w:p>
      <w:pPr>
        <w:spacing w:after="120" w:line="320"/>
        <w:jc w:val="both"/>
      </w:pPr>
      <w:r>
        <w:t xml:space="preserve">The mid-market segment is contested by three principal vendors. CaptivateIQ is the largest by revenue, with a product designed for modern sales operations teams and a self-serve approach that has historically been the strongest in the category. CaptivateIQ has gradually moved up-market in recent years, increasing its pricing and feature complexity in pursuit of larger contracts.</w:t>
      </w:r>
    </w:p>
    <w:p>
      <w:pPr>
        <w:spacing w:after="120" w:line="320"/>
        <w:jc w:val="both"/>
      </w:pPr>
      <w:r>
        <w:t xml:space="preserve">Everstage and Performio compete in the same segment with positioning that emphasizes transparency for representatives and ease of plan modeling. Both have established customer bases but neither has achieved the market share necessary to dominate the segment.</w:t>
      </w:r>
    </w:p>
    <w:p>
      <w:pPr>
        <w:spacing w:after="120" w:line="320"/>
        <w:jc w:val="both"/>
      </w:pPr>
      <w:r>
        <w:t xml:space="preserve">Spiff was historically the most popular self-serve alternative in the segment. Following its acquisition by Salesforce in 2024 and subsequent integration into the Salesforce product portfolio, the customer experience has shifted significantly. Industry reports describe a higher rate of customer dissatisfaction and a meaningful number of churn-out evaluations. This dynamic creates a specific window of opportunity for a new mid-market entrant.</w:t>
      </w:r>
    </w:p>
    <w:p>
      <w:pPr>
        <w:pStyle w:val="Heading2"/>
        <w:spacing w:after="180" w:before="360"/>
      </w:pPr>
      <w:r>
        <w:rPr>
          <w:color w:val="1F3A5F"/>
        </w:rPr>
        <w:t xml:space="preserve">4.3 The real volume competitor</w:t>
      </w:r>
    </w:p>
    <w:p>
      <w:pPr>
        <w:spacing w:after="120" w:line="320"/>
        <w:jc w:val="both"/>
      </w:pPr>
      <w:r>
        <w:t xml:space="preserve">The competitor against which most mid-market deals are won or lost is not a software vendor. It is Microsoft Excel, often supplemented by a custom script written by an internal developer or a contracted analyst. Industry estimates suggest that more than half of mid-market companies in the addressable range continue to run their compensation in spreadsheets, despite the operational pain.</w:t>
      </w:r>
    </w:p>
    <w:p>
      <w:pPr>
        <w:spacing w:after="120" w:line="320"/>
        <w:jc w:val="both"/>
      </w:pPr>
      <w:r>
        <w:t xml:space="preserve">This is the competitor that matters most. Wasnie's primary task is to be sufficiently superior to a competent spreadsheet operator that the switching cost is justified. The lever is not feature parity with enterprise SPM. It is operational confidence: a mid-market sales operations leader needs to believe that Wasnie, on day thirty, will be more reliable than the spreadsheet they have used for years.</w:t>
      </w:r>
    </w:p>
    <w:p>
      <w:pPr>
        <w:pStyle w:val="Heading2"/>
        <w:spacing w:after="180" w:before="360"/>
      </w:pPr>
      <w:r>
        <w:rPr>
          <w:color w:val="1F3A5F"/>
        </w:rPr>
        <w:t xml:space="preserve">4.4 Wasnie's defensible position</w:t>
      </w:r>
    </w:p>
    <w:p>
      <w:pPr>
        <w:spacing w:after="120" w:line="320"/>
        <w:jc w:val="both"/>
      </w:pPr>
      <w:r>
        <w:t xml:space="preserve">Wasnie occupies a specific position in this landscape. It is more affordable, faster to deploy, and explicitly self-serve compared to enterprise incumbents. It is simpler, more transparent, and more focused on the mid-market than the established mid-market competitors, which are moving up-market. And it is materially more reliable, auditable, and scalable than spreadsheets, which is what most of the segment uses today.</w:t>
      </w:r>
    </w:p>
    <w:p>
      <w:pPr>
        <w:spacing w:after="120" w:line="320"/>
        <w:jc w:val="both"/>
      </w:pPr>
      <w:r>
        <w:t xml:space="preserve">This positioning is defensible if Wasnie maintains discipline. The product must not chase enterprise complexity. The pricing must not creep upward to mid-enterprise levels. The customer experience must remain self-serve. Each of these requires saying no to specific customer requests that would compromise the position.</w:t>
      </w:r>
    </w:p>
    <w:p>
      <w:r>
        <w:br w:type="page"/>
      </w:r>
    </w:p>
    <w:p>
      <w:pPr>
        <w:pStyle w:val="Heading1"/>
        <w:spacing w:after="240" w:before="480"/>
      </w:pPr>
      <w:r>
        <w:rPr>
          <w:color w:val="1F3A5F"/>
        </w:rPr>
        <w:t xml:space="preserve">5. Wasnie's Solution</w:t>
      </w:r>
    </w:p>
    <w:p>
      <w:pPr>
        <w:pStyle w:val="Heading2"/>
        <w:spacing w:after="180" w:before="360"/>
      </w:pPr>
      <w:r>
        <w:rPr>
          <w:color w:val="1F3A5F"/>
        </w:rPr>
        <w:t xml:space="preserve">5.1 Product vision</w:t>
      </w:r>
    </w:p>
    <w:p>
      <w:pPr>
        <w:spacing w:after="120" w:line="320"/>
        <w:jc w:val="both"/>
      </w:pPr>
      <w:r>
        <w:t xml:space="preserve">Wasnie is a Sales Performance Management platform purpose-built for mid-market sales operations teams who run their compensation themselves. The product is designed around four user personas that represent the people who interact with it daily: the operations lead who designs and runs the plans, the sales representative who needs to trust their commission number, the sales manager who tracks and coaches their team, and the finance director who approves the payouts.</w:t>
      </w:r>
    </w:p>
    <w:p>
      <w:pPr>
        <w:spacing w:after="120" w:line="320"/>
        <w:jc w:val="both"/>
      </w:pPr>
      <w:r>
        <w:t xml:space="preserve">Every product decision in Wasnie can be traced back to one of these four personas and one of their critical jobs to be done. Features that do not serve a defined persona and a defined job are explicitly out of scope.</w:t>
      </w:r>
    </w:p>
    <w:p>
      <w:pPr>
        <w:pStyle w:val="Heading2"/>
        <w:spacing w:after="180" w:before="360"/>
      </w:pPr>
      <w:r>
        <w:rPr>
          <w:color w:val="1F3A5F"/>
        </w:rPr>
        <w:t xml:space="preserve">5.2 Core product capabilities</w:t>
      </w:r>
    </w:p>
    <w:p>
      <w:pPr>
        <w:spacing w:after="120" w:line="320"/>
        <w:jc w:val="both"/>
      </w:pPr>
      <w:r>
        <w:t xml:space="preserve">Wasnie covers the full operational cycle of sales compensation. The plan designer allows operations teams to define compensation structures with rate tables, accelerators, caps, floors, and modifiers. The calculation engine processes transactions ingested from CRM and ERP systems, applies the plan logic, and produces auditable payout records. Quotas, territories, and plan assignments can be managed at the level of individual representatives, with full effective dating so historical calculations remain stable when plans change.</w:t>
      </w:r>
    </w:p>
    <w:p>
      <w:pPr>
        <w:spacing w:after="120" w:line="320"/>
        <w:jc w:val="both"/>
      </w:pPr>
      <w:r>
        <w:t xml:space="preserve">Above the operational core sit the visibility modules: a transparent representative portal where each salesperson can see their current earnings, simulate the impact of pending deals, and raise disputes through a structured workflow; a manager portal for team-level tracking and dispute review; an administrative dashboard for the operations team; and a finance view with full drill-down from period totals to individual transactions and plan versions.</w:t>
      </w:r>
    </w:p>
    <w:p>
      <w:pPr>
        <w:pStyle w:val="Heading2"/>
        <w:spacing w:after="180" w:before="360"/>
      </w:pPr>
      <w:r>
        <w:rPr>
          <w:color w:val="1F3A5F"/>
        </w:rPr>
        <w:t xml:space="preserve">5.3 What makes Wasnie different</w:t>
      </w:r>
    </w:p>
    <w:p>
      <w:pPr>
        <w:spacing w:after="120" w:line="320"/>
        <w:jc w:val="both"/>
      </w:pPr>
      <w:r>
        <w:t xml:space="preserve">Three design choices differentiate Wasnie from competing products in the segment.</w:t>
      </w:r>
    </w:p>
    <w:p>
      <w:pPr>
        <w:spacing w:after="120" w:line="320"/>
        <w:jc w:val="both"/>
      </w:pPr>
      <w:r>
        <w:t xml:space="preserve">First, Wasnie is built for self-serve operation from day one. The product is designed to be configured by the customer's operations team without external consultants. The plan designer uses concepts familiar to anyone who has built a commission spreadsheet. The onboarding is structured around what an operations leader actually needs to accomplish in their first week, not around a generic implementation script.</w:t>
      </w:r>
    </w:p>
    <w:p>
      <w:pPr>
        <w:spacing w:after="120" w:line="320"/>
        <w:jc w:val="both"/>
      </w:pPr>
      <w:r>
        <w:t xml:space="preserve">Second, Wasnie treats representative transparency as a strategic capability, not a checkbox. The representative portal is designed to be checked weekly by the sales team and to provide the answer the representative is looking for without requiring them to ask the operations team. Where industry data indicates that only half of companies offer this transparency, Wasnie makes it the default and central experience.</w:t>
      </w:r>
    </w:p>
    <w:p>
      <w:pPr>
        <w:spacing w:after="120" w:line="320"/>
        <w:jc w:val="both"/>
      </w:pPr>
      <w:r>
        <w:t xml:space="preserve">Third, Wasnie is built on a discipline of architectural integrity. Multi-tenant isolation, audit trail, and calculation auditability are not features added late in development. They are foundational requirements documented in a binding architecture specification that constrains every subsequent product decision. This is invisible to the customer in good times and decisive in bad times.</w:t>
      </w:r>
    </w:p>
    <w:p>
      <w:pPr>
        <w:pStyle w:val="Heading2"/>
        <w:spacing w:after="180" w:before="360"/>
      </w:pPr>
      <w:r>
        <w:rPr>
          <w:color w:val="1F3A5F"/>
        </w:rPr>
        <w:t xml:space="preserve">5.4 What Wasnie is explicitly not</w:t>
      </w:r>
    </w:p>
    <w:p>
      <w:pPr>
        <w:spacing w:after="120" w:line="320"/>
        <w:jc w:val="both"/>
      </w:pPr>
      <w:r>
        <w:t xml:space="preserve">Wasnie is not an enterprise SPM platform. It does not aspire to support five thousand representatives with dozens of plan variants and matrix organizational structures. The decisions that would be required to support that scale would compromise the simplicity that makes Wasnie viable for the mid-market segment. This boundary is intentional and is documented as a binding product constraint.</w:t>
      </w:r>
    </w:p>
    <w:p>
      <w:r>
        <w:br w:type="page"/>
      </w:r>
    </w:p>
    <w:p>
      <w:pPr>
        <w:pStyle w:val="Heading1"/>
        <w:spacing w:after="240" w:before="480"/>
      </w:pPr>
      <w:r>
        <w:rPr>
          <w:color w:val="1F3A5F"/>
        </w:rPr>
        <w:t xml:space="preserve">6. Target Market</w:t>
      </w:r>
    </w:p>
    <w:p>
      <w:pPr>
        <w:pStyle w:val="Heading2"/>
        <w:spacing w:after="180" w:before="360"/>
      </w:pPr>
      <w:r>
        <w:rPr>
          <w:color w:val="1F3A5F"/>
        </w:rPr>
        <w:t xml:space="preserve">6.1 Ideal Customer Profile</w:t>
      </w:r>
    </w:p>
    <w:p>
      <w:pPr>
        <w:spacing w:after="120" w:line="320"/>
        <w:jc w:val="both"/>
      </w:pPr>
      <w:r>
        <w:t xml:space="preserve">Wasnie's ideal customer is a mid-market company with between fifty and two hundred sales-eligible employees, operating with three to fifteen distinct compensation plans, currently running commissions on spreadsheets supplemented by ad-hoc scripts. The customer has an internal sales operations leader who owns compensation and who has the authority to evaluate and purchase software in the price range Wasnie operates at.</w:t>
      </w:r>
    </w:p>
    <w:p>
      <w:pPr>
        <w:spacing w:after="120" w:line="320"/>
        <w:jc w:val="both"/>
      </w:pPr>
      <w:r>
        <w:t xml:space="preserve">The customer's sales process is sufficiently structured to use a CRM consistently — typically Salesforce or HubSpot — and their finance team uses a recognizable ERP. The compensation logic involves a mix of base rates, quota attainment, and modest accelerator structures. It does not involve complex multi-currency consolidation, regulated commission structures from financial services, or pharmaceutical commission rules.</w:t>
      </w:r>
    </w:p>
    <w:p>
      <w:pPr>
        <w:pStyle w:val="Heading2"/>
        <w:spacing w:after="180" w:before="360"/>
      </w:pPr>
      <w:r>
        <w:rPr>
          <w:color w:val="1F3A5F"/>
        </w:rPr>
        <w:t xml:space="preserve">6.2 Geographic focus</w:t>
      </w:r>
    </w:p>
    <w:p>
      <w:pPr>
        <w:spacing w:after="120" w:line="320"/>
        <w:jc w:val="both"/>
      </w:pPr>
      <w:r>
        <w:t xml:space="preserve">Wasnie's first fifty customers are targeted in three geographic regions, in this priority order. Poland, where the founder operates and which represents a developed but underserved mid-market for B2B software. Central and Eastern Europe more broadly, including Czech Republic, Hungary, Romania, and the Baltic states. And the Iberian-speaking markets, including Spain and major Latin American economies, where the cultural fit of the product team and the absence of dominant local SPM vendors creates a category-defining opportunity.</w:t>
      </w:r>
    </w:p>
    <w:p>
      <w:pPr>
        <w:spacing w:after="120" w:line="320"/>
        <w:jc w:val="both"/>
      </w:pPr>
      <w:r>
        <w:t xml:space="preserve">This geographic focus is a positioning choice as much as a sales targeting choice. Selling to the underserved European mid-market and to Latin America positions Wasnie outside the immediate competitive overlap with North American SPM vendors and aligns the product roadmap with the requirements of these markets, including multi-currency support, local language support, and GDPR-compliant data handling.</w:t>
      </w:r>
    </w:p>
    <w:p>
      <w:pPr>
        <w:pStyle w:val="Heading2"/>
        <w:spacing w:after="180" w:before="360"/>
      </w:pPr>
      <w:r>
        <w:rPr>
          <w:color w:val="1F3A5F"/>
        </w:rPr>
        <w:t xml:space="preserve">6.3 Vertical focus</w:t>
      </w:r>
    </w:p>
    <w:p>
      <w:pPr>
        <w:spacing w:after="120" w:line="320"/>
        <w:jc w:val="both"/>
      </w:pPr>
      <w:r>
        <w:t xml:space="preserve">Within the geographic focus, Wasnie targets three vertical segments in the early commercial phase. B2B software and SaaS companies, which combine sophisticated sales motions with operational maturity and a cultural fit for self-serve software. Professional services firms, including consulting, staffing, and technology services, which run high-stakes compensation programs and are typically underserved by mid-market SPM tools. Distribution and channel-led businesses, which run partner-influenced compensation structures and benefit substantially from structured plan management.</w:t>
      </w:r>
    </w:p>
    <w:p>
      <w:pPr>
        <w:spacing w:after="120" w:line="320"/>
        <w:jc w:val="both"/>
      </w:pPr>
      <w:r>
        <w:t xml:space="preserve">Industries explicitly out of scope in the early commercial phase include financial services subject to regulated commission requirements, pharmaceutical sales subject to FDA and equivalent regulations, and large retail operations with thousands of front-line earners.</w:t>
      </w:r>
    </w:p>
    <w:p>
      <w:pPr>
        <w:pStyle w:val="Heading2"/>
        <w:spacing w:after="180" w:before="360"/>
      </w:pPr>
      <w:r>
        <w:rPr>
          <w:color w:val="1F3A5F"/>
        </w:rPr>
        <w:t xml:space="preserve">6.4 Customer acquisition strategy</w:t>
      </w:r>
    </w:p>
    <w:p>
      <w:pPr>
        <w:spacing w:after="120" w:line="320"/>
        <w:jc w:val="both"/>
      </w:pPr>
      <w:r>
        <w:t xml:space="preserve">Wasnie's go-to-market in the first commercial phase is direct and founder-led. The acquisition model relies on three channels: outbound to sales operations leaders within the target ICP, with messages anchored on the operational pain of running compensation in spreadsheets; inbound through thought-leadership content addressing the operational reality of mid-market sales compensation, distributed on LinkedIn and through the founder's professional network; and warm referrals from early customers, supported by a structured referral incentive.</w:t>
      </w:r>
    </w:p>
    <w:p>
      <w:pPr>
        <w:spacing w:after="120" w:line="320"/>
        <w:jc w:val="both"/>
      </w:pPr>
      <w:r>
        <w:t xml:space="preserve">Channel partnerships, marketplace listings, and integrator-driven sales are explicitly out of scope until the product has demonstrated the unit economics described in section 9 of this document.</w:t>
      </w:r>
    </w:p>
    <w:p>
      <w:r>
        <w:br w:type="page"/>
      </w:r>
    </w:p>
    <w:p>
      <w:pPr>
        <w:pStyle w:val="Heading1"/>
        <w:spacing w:after="240" w:before="480"/>
      </w:pPr>
      <w:r>
        <w:rPr>
          <w:color w:val="1F3A5F"/>
        </w:rPr>
        <w:t xml:space="preserve">7. Product Overview</w:t>
      </w:r>
    </w:p>
    <w:p>
      <w:pPr>
        <w:pStyle w:val="Heading2"/>
        <w:spacing w:after="180" w:before="360"/>
      </w:pPr>
      <w:r>
        <w:rPr>
          <w:color w:val="1F3A5F"/>
        </w:rPr>
        <w:t xml:space="preserve">7.1 Functional modules</w:t>
      </w:r>
    </w:p>
    <w:p>
      <w:pPr>
        <w:spacing w:after="120" w:line="320"/>
        <w:jc w:val="both"/>
      </w:pPr>
      <w:r>
        <w:t xml:space="preserve">Wasnie's product is organized into ten functional module groups. The foundation modules cover multi-tenant architecture, identity and authentication, role-based authorization, internationalization, and the theme and design system. The core compensation modules implement plan management, the rule engine, the calculation engine, quota management, and plan assignments. The transaction and data modules cover transaction ingestion, credit allocation, and the transaction lifecycle. The payee and organization modules handle payee management and organizational hierarchy.</w:t>
      </w:r>
    </w:p>
    <w:p>
      <w:pPr>
        <w:spacing w:after="120" w:line="320"/>
        <w:jc w:val="both"/>
      </w:pPr>
      <w:r>
        <w:t xml:space="preserve">Above this operational base sit the workflow modules — dispute management, approval workflows, adjustments, and period close — and the visibility modules: administrative dashboard, representative portal, manager portal, and reporting. Integration modules cover the REST API, CRM connectors, ERP and payroll connectors, notification channels, and single sign-on. Administration modules handle tenant settings, user management, audit log, and billing. The differentiator modules — simulation, templates, assisted onboarding, multi-currency, and AI-assisted plan building — establish capabilities that distinguish Wasnie from alternatives in the segment.</w:t>
      </w:r>
    </w:p>
    <w:p>
      <w:pPr>
        <w:spacing w:after="120" w:line="320"/>
        <w:jc w:val="both"/>
      </w:pPr>
      <w:r>
        <w:t xml:space="preserve">Quality, security, and compliance modules complete the product surface, covering data retention, GDPR compliance, encryption, backup and disaster recovery, and observability. These modules are documented as part of a binding product specification that governs all development.</w:t>
      </w:r>
    </w:p>
    <w:p>
      <w:pPr>
        <w:pStyle w:val="Heading2"/>
        <w:spacing w:after="180" w:before="360"/>
      </w:pPr>
      <w:r>
        <w:rPr>
          <w:color w:val="1F3A5F"/>
        </w:rPr>
        <w:t xml:space="preserve">7.2 The four user experiences</w:t>
      </w:r>
    </w:p>
    <w:p>
      <w:pPr>
        <w:spacing w:after="120" w:line="320"/>
        <w:jc w:val="both"/>
      </w:pPr>
      <w:r>
        <w:t xml:space="preserve">Wasnie presents four distinct user experiences corresponding to its four primary personas.</w:t>
      </w:r>
    </w:p>
    <w:p>
      <w:pPr>
        <w:spacing w:after="120" w:line="320"/>
        <w:jc w:val="both"/>
      </w:pPr>
      <w:r>
        <w:t xml:space="preserve">The operations experience, for the sales operations lead, centers on plan design, transaction management, calculation execution, and period close. The operational workflow is built around the recurring monthly cycle that defines this role.</w:t>
      </w:r>
    </w:p>
    <w:p>
      <w:pPr>
        <w:spacing w:after="120" w:line="320"/>
        <w:jc w:val="both"/>
      </w:pPr>
      <w:r>
        <w:t xml:space="preserve">The representative experience, for the salesperson, is built for the recurring weekly check-in: how much have I earned, what does it look like if I close my pipeline, when does my next payout arrive. The experience is mobile-friendly and notification-driven.</w:t>
      </w:r>
    </w:p>
    <w:p>
      <w:pPr>
        <w:spacing w:after="120" w:line="320"/>
        <w:jc w:val="both"/>
      </w:pPr>
      <w:r>
        <w:t xml:space="preserve">The manager experience, for the sales manager, focuses on team attainment, individual representative drill-down, dispute review, and trend identification. It is built around the recurring weekly one-on-one cycle and the monthly team review.</w:t>
      </w:r>
    </w:p>
    <w:p>
      <w:pPr>
        <w:spacing w:after="120" w:line="320"/>
        <w:jc w:val="both"/>
      </w:pPr>
      <w:r>
        <w:t xml:space="preserve">The finance experience, for the finance director, emphasizes audit trail, drill-down from totals to underlying calculations, and structured export to ERP for accrual booking.</w:t>
      </w:r>
    </w:p>
    <w:p>
      <w:pPr>
        <w:pStyle w:val="Heading2"/>
        <w:spacing w:after="180" w:before="360"/>
      </w:pPr>
      <w:r>
        <w:rPr>
          <w:color w:val="1F3A5F"/>
        </w:rPr>
        <w:t xml:space="preserve">7.3 Architectural principles</w:t>
      </w:r>
    </w:p>
    <w:p>
      <w:pPr>
        <w:spacing w:after="120" w:line="320"/>
        <w:jc w:val="both"/>
      </w:pPr>
      <w:r>
        <w:t xml:space="preserve">Wasnie is built on a Clean Architecture pattern, with strict separation between the domain layer that contains business logic, the application layer that orchestrates use cases, the infrastructure layer that interfaces with persistence and external systems, and the presentation layer that exposes the API. This separation is enforced by the project structure itself and is verified by automated tests. Domain entities have no dependencies on frameworks; the calculation engine can be tested in isolation; persistence can be replaced without changing business logic.</w:t>
      </w:r>
    </w:p>
    <w:p>
      <w:pPr>
        <w:spacing w:after="120" w:line="320"/>
        <w:jc w:val="both"/>
      </w:pPr>
      <w:r>
        <w:t xml:space="preserve">The backend is built on ASP.NET Core eight and uses Microsoft SQL Server as the primary data store. The frontend is built on Angular twenty using standalone components, signals, and a strict design token system. Multi-tenant isolation is enforced at every level of the stack, including database query filters, cache keys, and temporary file storage. All money-handling operations are unit tested to extensive coverage, and all destructive operations produce immutable audit records.</w:t>
      </w:r>
    </w:p>
    <w:p>
      <w:r>
        <w:br w:type="page"/>
      </w:r>
    </w:p>
    <w:p>
      <w:pPr>
        <w:pStyle w:val="Heading1"/>
        <w:spacing w:after="240" w:before="480"/>
      </w:pPr>
      <w:r>
        <w:rPr>
          <w:color w:val="1F3A5F"/>
        </w:rPr>
        <w:t xml:space="preserve">8. Business Model</w:t>
      </w:r>
    </w:p>
    <w:p>
      <w:pPr>
        <w:pStyle w:val="Heading2"/>
        <w:spacing w:after="180" w:before="360"/>
      </w:pPr>
      <w:r>
        <w:rPr>
          <w:color w:val="1F3A5F"/>
        </w:rPr>
        <w:t xml:space="preserve">8.1 Pricing tiers</w:t>
      </w:r>
    </w:p>
    <w:p>
      <w:pPr>
        <w:spacing w:after="120" w:line="320"/>
        <w:jc w:val="both"/>
      </w:pPr>
      <w:r>
        <w:t xml:space="preserve">Wasnie offers a five-tier subscription model designed to align with customer scale and adoption maturity. The tier structure and pricing are summarized below.</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Tier</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Monthly</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Payees</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Plans</w:t>
            </w:r>
          </w:p>
        </w:tc>
        <w:tc>
          <w:tcPr>
            <w:tcW w:type="dxa" w:w="182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API</w:t>
            </w:r>
          </w:p>
        </w:tc>
      </w:tr>
      <w:tr>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b/>
                <w:bCs/>
                <w:color w:val="1A1A1A"/>
                <w:sz w:val="22"/>
                <w:szCs w:val="22"/>
              </w:rPr>
              <w:t xml:space="preserve">Free</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€0</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5</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1 (demo)</w:t>
            </w:r>
          </w:p>
        </w:tc>
        <w:tc>
          <w:tcPr>
            <w:tcW w:type="dxa" w:w="18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bCs/>
                <w:color w:val="1A1A1A"/>
                <w:sz w:val="22"/>
                <w:szCs w:val="22"/>
              </w:rPr>
              <w:t xml:space="preserve">Starter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€300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5</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No</w:t>
            </w:r>
          </w:p>
        </w:tc>
      </w:tr>
      <w:tr>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b/>
                <w:bCs/>
                <w:color w:val="1A1A1A"/>
                <w:sz w:val="22"/>
                <w:szCs w:val="22"/>
              </w:rPr>
              <w:t xml:space="preserve">Growth</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€800</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75</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15</w:t>
            </w:r>
          </w:p>
        </w:tc>
        <w:tc>
          <w:tcPr>
            <w:tcW w:type="dxa" w:w="18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Read-only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bCs/>
                <w:color w:val="1A1A1A"/>
                <w:sz w:val="22"/>
                <w:szCs w:val="22"/>
              </w:rPr>
              <w:t xml:space="preserve">Scale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€1,800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150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Unlimited</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Full</w:t>
            </w:r>
          </w:p>
        </w:tc>
      </w:tr>
      <w:tr>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b/>
                <w:bCs/>
                <w:color w:val="1A1A1A"/>
                <w:sz w:val="22"/>
                <w:szCs w:val="22"/>
              </w:rPr>
              <w:t xml:space="preserve">Enterprise</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€2,500+</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Unlimited</w:t>
            </w:r>
          </w:p>
        </w:tc>
        <w:tc>
          <w:tcPr>
            <w:tcW w:type="dxa" w:w="18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Unlimited</w:t>
            </w:r>
          </w:p>
        </w:tc>
        <w:tc>
          <w:tcPr>
            <w:tcW w:type="dxa" w:w="18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Full + SLA</w:t>
            </w:r>
          </w:p>
        </w:tc>
      </w:tr>
    </w:tbl>
    <w:p>
      <w:pPr>
        <w:spacing w:after="240"/>
      </w:pPr>
      <w:r>
        <w:t xml:space="preserve"/>
      </w:r>
    </w:p>
    <w:p>
      <w:pPr>
        <w:spacing w:after="120" w:line="320"/>
        <w:jc w:val="both"/>
      </w:pPr>
      <w:r>
        <w:t xml:space="preserve">Pricing is denominated in Euros for the European target market. The pricing structure is designed to produce attractive unit economics at the Growth and Scale tiers, which represent the bulk of the addressable market. The Starter tier exists primarily as an entry point and is priced near the operational cost of serving the customer.</w:t>
      </w:r>
    </w:p>
    <w:p>
      <w:pPr>
        <w:pStyle w:val="Heading2"/>
        <w:spacing w:after="180" w:before="360"/>
      </w:pPr>
      <w:r>
        <w:rPr>
          <w:color w:val="1F3A5F"/>
        </w:rPr>
        <w:t xml:space="preserve">8.2 Unit economics</w:t>
      </w:r>
    </w:p>
    <w:p>
      <w:pPr>
        <w:spacing w:after="120" w:line="320"/>
        <w:jc w:val="both"/>
      </w:pPr>
      <w:r>
        <w:t xml:space="preserve">The unit economics of the Growth and Scale tiers are designed around three principles. Customer acquisition cost is targeted at under two thousand Euros for a Growth customer and under five thousand Euros for a Scale customer, achievable through founder-led outbound and inbound content marketing. Customer lifetime is expected to exceed thirty-six months based on industry data for sales-critical software in this segment. And the gross margin on the subscription is targeted at above seventy-five percent, achievable through self-serve operation and disciplined infrastructure costs.</w:t>
      </w:r>
    </w:p>
    <w:p>
      <w:pPr>
        <w:spacing w:after="120" w:line="320"/>
        <w:jc w:val="both"/>
      </w:pPr>
      <w:r>
        <w:t xml:space="preserve">These metrics produce an estimated payback period of under nine months at the Growth tier and under twelve months at the Scale tier, with a lifetime-value to acquisition-cost ratio above five at both tiers. These are the unit economics required to support a SaaS business that does not depend on outside capital for survival, while remaining able to accept capital strategically for accelerated growth.</w:t>
      </w:r>
    </w:p>
    <w:p>
      <w:pPr>
        <w:pStyle w:val="Heading2"/>
        <w:spacing w:after="180" w:before="360"/>
      </w:pPr>
      <w:r>
        <w:rPr>
          <w:color w:val="1F3A5F"/>
        </w:rPr>
        <w:t xml:space="preserve">8.3 Revenue projection framework</w:t>
      </w:r>
    </w:p>
    <w:p>
      <w:pPr>
        <w:spacing w:after="120" w:line="320"/>
        <w:jc w:val="both"/>
      </w:pPr>
      <w:r>
        <w:t xml:space="preserve">Wasnie's revenue projection follows a structured progression. The first ten paying customers are targeted within six months of commercial launch, focused entirely on Growth and Scale tiers in the founder's primary geographic region. The first fifty customers, target within eighteen months of commercial launch, expands to all three target geographies and validates the channel mix. The first one hundred customers, target within thirty months of commercial launch, establishes Wasnie as an identified mid-market option in its target segments and creates the foundation for either continued bootstrapped growth or strategic capital raise.</w:t>
      </w:r>
    </w:p>
    <w:p>
      <w:r>
        <w:br w:type="page"/>
      </w:r>
    </w:p>
    <w:p>
      <w:pPr>
        <w:pStyle w:val="Heading1"/>
        <w:spacing w:after="240" w:before="480"/>
      </w:pPr>
      <w:r>
        <w:rPr>
          <w:color w:val="1F3A5F"/>
        </w:rPr>
        <w:t xml:space="preserve">9. Roadmap</w:t>
      </w:r>
    </w:p>
    <w:p>
      <w:pPr>
        <w:pStyle w:val="Heading2"/>
        <w:spacing w:after="180" w:before="360"/>
      </w:pPr>
      <w:r>
        <w:rPr>
          <w:color w:val="1F3A5F"/>
        </w:rPr>
        <w:t xml:space="preserve">9.1 Build phases</w:t>
      </w:r>
    </w:p>
    <w:p>
      <w:pPr>
        <w:spacing w:after="120" w:line="320"/>
        <w:jc w:val="both"/>
      </w:pPr>
      <w:r>
        <w:t xml:space="preserve">Wasnie's development is organized into ten sequential phases, each producing a defined product increment. The phases are scoped to allow commercial activity to begin before the full product surface is complete, with the explicit understanding that early customers receive a defined and validated subset of the eventual product.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26"/>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Phase</w:t>
            </w:r>
          </w:p>
        </w:tc>
        <w:tc>
          <w:tcPr>
            <w:tcW w:type="dxa" w:w="5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left"/>
            </w:pPr>
            <w:r>
              <w:rPr>
                <w:b/>
                <w:bCs/>
                <w:color w:val="FFFFFF"/>
                <w:sz w:val="22"/>
                <w:szCs w:val="22"/>
              </w:rPr>
              <w:t xml:space="preserve">Scope</w:t>
            </w:r>
          </w:p>
        </w:tc>
        <w:tc>
          <w:tcPr>
            <w:tcW w:type="dxa" w:w="262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jc w:val="center"/>
            </w:pPr>
            <w:r>
              <w:rPr>
                <w:b/>
                <w:bCs/>
                <w:color w:val="FFFFFF"/>
                <w:sz w:val="22"/>
                <w:szCs w:val="22"/>
              </w:rPr>
              <w:t xml:space="preserve">Status</w:t>
            </w:r>
          </w:p>
        </w:tc>
      </w:tr>
      <w:tr>
        <w:tc>
          <w:tcPr>
            <w:tcW w:type="dxa" w:w="1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1A1A1A"/>
                <w:sz w:val="22"/>
                <w:szCs w:val="22"/>
              </w:rPr>
              <w:t xml:space="preserve">0</w:t>
            </w:r>
          </w:p>
        </w:tc>
        <w:tc>
          <w:tcPr>
            <w:tcW w:type="dxa" w:w="5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Foundation: multi-tenant, identity, design system</w:t>
            </w:r>
          </w:p>
        </w:tc>
        <w:tc>
          <w:tcPr>
            <w:tcW w:type="dxa" w:w="26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0F6E0F"/>
                <w:sz w:val="22"/>
                <w:szCs w:val="22"/>
              </w:rPr>
              <w:t xml:space="preserve">Complete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1A1A1A"/>
                <w:sz w:val="22"/>
                <w:szCs w:val="22"/>
              </w:rPr>
              <w:t xml:space="preserve">1</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Plans, quotas, assignments, payees, basic import</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B45F06"/>
                <w:sz w:val="22"/>
                <w:szCs w:val="22"/>
              </w:rPr>
              <w:t xml:space="preserve">In progress</w:t>
            </w:r>
          </w:p>
        </w:tc>
      </w:tr>
      <w:tr>
        <w:tc>
          <w:tcPr>
            <w:tcW w:type="dxa" w:w="1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1A1A1A"/>
                <w:sz w:val="22"/>
                <w:szCs w:val="22"/>
              </w:rPr>
              <w:t xml:space="preserve">2</w:t>
            </w:r>
          </w:p>
        </w:tc>
        <w:tc>
          <w:tcPr>
            <w:tcW w:type="dxa" w:w="5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Transactions and data ingestion</w:t>
            </w:r>
          </w:p>
        </w:tc>
        <w:tc>
          <w:tcPr>
            <w:tcW w:type="dxa" w:w="26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1A1A1A"/>
                <w:sz w:val="22"/>
                <w:szCs w:val="22"/>
              </w:rPr>
              <w:t xml:space="preserve">3</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Calculation engine</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1A1A1A"/>
                <w:sz w:val="22"/>
                <w:szCs w:val="22"/>
              </w:rPr>
              <w:t xml:space="preserve">4</w:t>
            </w:r>
          </w:p>
        </w:tc>
        <w:tc>
          <w:tcPr>
            <w:tcW w:type="dxa" w:w="5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Visibility — admin, rep, manager portals</w:t>
            </w:r>
          </w:p>
        </w:tc>
        <w:tc>
          <w:tcPr>
            <w:tcW w:type="dxa" w:w="26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1A1A1A"/>
                <w:sz w:val="22"/>
                <w:szCs w:val="22"/>
              </w:rPr>
              <w:t xml:space="preserve">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Workflows — disputes, approvals, period close</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1A1A1A"/>
                <w:sz w:val="22"/>
                <w:szCs w:val="22"/>
              </w:rPr>
              <w:t xml:space="preserve">6</w:t>
            </w:r>
          </w:p>
        </w:tc>
        <w:tc>
          <w:tcPr>
            <w:tcW w:type="dxa" w:w="5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Integrations — CRM, ERP, payroll, notifications</w:t>
            </w:r>
          </w:p>
        </w:tc>
        <w:tc>
          <w:tcPr>
            <w:tcW w:type="dxa" w:w="26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1A1A1A"/>
                <w:sz w:val="22"/>
                <w:szCs w:val="22"/>
              </w:rPr>
              <w:t xml:space="preserve">7</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Administration and billing</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b/>
                <w:bCs/>
                <w:color w:val="1A1A1A"/>
                <w:sz w:val="22"/>
                <w:szCs w:val="22"/>
              </w:rPr>
              <w:t xml:space="preserve">8</w:t>
            </w:r>
          </w:p>
        </w:tc>
        <w:tc>
          <w:tcPr>
            <w:tcW w:type="dxa" w:w="5200"/>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left"/>
            </w:pPr>
            <w:r>
              <w:rPr>
                <w:color w:val="1A1A1A"/>
                <w:sz w:val="22"/>
                <w:szCs w:val="22"/>
              </w:rPr>
              <w:t xml:space="preserve">Polish and differentiator features</w:t>
            </w:r>
          </w:p>
        </w:tc>
        <w:tc>
          <w:tcPr>
            <w:tcW w:type="dxa" w:w="2626"/>
            <w:tcBorders>
              <w:top w:val="single" w:color="BFBFBF" w:sz="4"/>
              <w:left w:val="single" w:color="BFBFBF" w:sz="4"/>
              <w:bottom w:val="single" w:color="BFBFBF" w:sz="4"/>
              <w:right w:val="single" w:color="BFBFBF" w:sz="4"/>
            </w:tcBorders>
            <w:shd w:fill="F2F5F8" w:val="clear"/>
            <w:tcMar>
              <w:top w:type="dxa" w:w="80"/>
              <w:left w:type="dxa" w:w="120"/>
              <w:bottom w:type="dxa" w:w="80"/>
              <w:right w:type="dxa" w:w="120"/>
            </w:tcMar>
            <w:vAlign w:val="center"/>
          </w:tcPr>
          <w:p>
            <w:pPr>
              <w:jc w:val="center"/>
            </w:pPr>
            <w:r>
              <w:rPr>
                <w:color w:val="595959"/>
                <w:sz w:val="22"/>
                <w:szCs w:val="22"/>
              </w:rPr>
              <w:t xml:space="preserve">Planned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1A1A1A"/>
                <w:sz w:val="22"/>
                <w:szCs w:val="22"/>
              </w:rPr>
              <w:t xml:space="preserve">9</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color w:val="1A1A1A"/>
                <w:sz w:val="22"/>
                <w:szCs w:val="22"/>
              </w:rPr>
              <w:t xml:space="preserve">Compliance — SOC 2, ISO 27001, formal certifications</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color w:val="595959"/>
                <w:sz w:val="22"/>
                <w:szCs w:val="22"/>
              </w:rPr>
              <w:t xml:space="preserve">Planned</w:t>
            </w:r>
          </w:p>
        </w:tc>
      </w:tr>
    </w:tbl>
    <w:p>
      <w:pPr>
        <w:spacing w:after="240"/>
      </w:pPr>
      <w:r>
        <w:t xml:space="preserve"/>
      </w:r>
    </w:p>
    <w:p>
      <w:pPr>
        <w:pStyle w:val="Heading2"/>
        <w:spacing w:after="180" w:before="360"/>
      </w:pPr>
      <w:r>
        <w:rPr>
          <w:color w:val="1F3A5F"/>
        </w:rPr>
        <w:t xml:space="preserve">9.2 Commercial launch milestone</w:t>
      </w:r>
    </w:p>
    <w:p>
      <w:pPr>
        <w:spacing w:after="120" w:line="320"/>
        <w:jc w:val="both"/>
      </w:pPr>
      <w:r>
        <w:t xml:space="preserve">Wasnie's first commercial activity is targeted at the completion of Phase 4, when the product reaches its first complete operational cycle: plans can be designed, transactions ingested, commissions calculated, and results communicated through dedicated portals for operations, representatives, managers, and finance. This is the minimum sellable product. Earlier phases produce internal milestones, design partner relationships, and feedback loops, but not formal customer acquisition.</w:t>
      </w:r>
    </w:p>
    <w:p>
      <w:pPr>
        <w:spacing w:after="120" w:line="320"/>
        <w:jc w:val="both"/>
      </w:pPr>
      <w:r>
        <w:t xml:space="preserve">Phase 9 — formal compliance certifications including SOC 2 Type II and ISO 27001 — is the gating milestone for moving up into the upper Scale and Enterprise tiers. Until Phase 9 is complete, Wasnie's commercial activity is concentrated in the Starter, Growth, and lower Scale tiers, where formal compliance certification is not typically a requirement.</w:t>
      </w:r>
    </w:p>
    <w:p>
      <w:pPr>
        <w:pStyle w:val="Heading2"/>
        <w:spacing w:after="180" w:before="360"/>
      </w:pPr>
      <w:r>
        <w:rPr>
          <w:color w:val="1F3A5F"/>
        </w:rPr>
        <w:t xml:space="preserve">9.3 Current status — May 2026</w:t>
      </w:r>
    </w:p>
    <w:p>
      <w:pPr>
        <w:spacing w:after="120" w:line="320"/>
        <w:jc w:val="both"/>
      </w:pPr>
      <w:r>
        <w:t xml:space="preserve">As of the date of this document, Phase 0 is complete. Phase 1 is in active development and nearing closure. The foundational architecture, multi-tenant isolation, identity, authentication, internationalization across three languages, and the design system are operational. The plan management, quota management, payee management, and plan assignment modules are functional. A basic import capability for payee data has been implemented and tested. The full set of supporting documentation — architectural specification, design system, product specification, and operational plan — is current and binding.</w:t>
      </w:r>
    </w:p>
    <w:p>
      <w:r>
        <w:br w:type="page"/>
      </w:r>
    </w:p>
    <w:p>
      <w:pPr>
        <w:pStyle w:val="Heading1"/>
        <w:spacing w:after="240" w:before="480"/>
      </w:pPr>
      <w:r>
        <w:rPr>
          <w:color w:val="1F3A5F"/>
        </w:rPr>
        <w:t xml:space="preserve">10. Technology</w:t>
      </w:r>
    </w:p>
    <w:p>
      <w:pPr>
        <w:pStyle w:val="Heading2"/>
        <w:spacing w:after="180" w:before="360"/>
      </w:pPr>
      <w:r>
        <w:rPr>
          <w:color w:val="1F3A5F"/>
        </w:rPr>
        <w:t xml:space="preserve">10.1 Architectural foundation</w:t>
      </w:r>
    </w:p>
    <w:p>
      <w:pPr>
        <w:spacing w:after="120" w:line="320"/>
        <w:jc w:val="both"/>
      </w:pPr>
      <w:r>
        <w:t xml:space="preserve">Wasnie is built on a Clean Architecture foundation with four strictly separated layers. The Domain layer contains the business entities, value objects, and rules that govern compensation. It depends on nothing external. The Application layer orchestrates use cases, coordinates between layers, and defines the contracts the Infrastructure layer must implement. The Infrastructure layer provides concrete implementations for persistence, external integrations, and platform services. The Presentation layer exposes the HTTP API and translates between the wire protocol and the use cases.</w:t>
      </w:r>
    </w:p>
    <w:p>
      <w:pPr>
        <w:spacing w:after="120" w:line="320"/>
        <w:jc w:val="both"/>
      </w:pPr>
      <w:r>
        <w:t xml:space="preserve">This separation is enforced mechanically through project structure and dependency rules. The Domain layer cannot reference any framework or third-party library; the Application layer cannot reference Infrastructure; the Presentation layer interacts only with Application. This discipline produces a codebase in which business logic is testable in isolation, persistence can be changed without affecting business rules, and the compensation engine is independent of the surrounding system.</w:t>
      </w:r>
    </w:p>
    <w:p>
      <w:pPr>
        <w:pStyle w:val="Heading2"/>
        <w:spacing w:after="180" w:before="360"/>
      </w:pPr>
      <w:r>
        <w:rPr>
          <w:color w:val="1F3A5F"/>
        </w:rPr>
        <w:t xml:space="preserve">10.2 Technology stack</w:t>
      </w:r>
    </w:p>
    <w:p>
      <w:pPr>
        <w:spacing w:after="120" w:line="320"/>
        <w:jc w:val="both"/>
      </w:pPr>
      <w:r>
        <w:t xml:space="preserve">The backend is built on ASP.NET Core 8 with C#, using MediatR for the application layer command and query pattern, FluentValidation for input validation, AutoMapper for data transfer object mapping, and Entity Framework Core for persistence. The primary data store is Microsoft SQL Server, with EF Core configurations isolated to the Infrastructure layer.</w:t>
      </w:r>
    </w:p>
    <w:p>
      <w:pPr>
        <w:spacing w:after="120" w:line="320"/>
        <w:jc w:val="both"/>
      </w:pPr>
      <w:r>
        <w:t xml:space="preserve">The frontend is an Angular 20 single-page application using standalone components, signals for state management, the strict design token system documented in the design specification, and Tailwind CSS for utility-class styling. Internationalization is implemented through ngx-translate with current support for English, Spanish, and Polish. The application targets desktop browsers in its current phase, with mobile responsiveness planned for Phase 8.</w:t>
      </w:r>
    </w:p>
    <w:p>
      <w:pPr>
        <w:spacing w:after="120" w:line="320"/>
        <w:jc w:val="both"/>
      </w:pPr>
      <w:r>
        <w:t xml:space="preserve">Identity is implemented using JSON Web Tokens with refresh token rotation. Server-side pagination is mandatory across all list endpoints. Audit logging is implemented at the application layer with eventual external storage for long-term retention. All financial calculations are required to be implemented as pure functions covered by unit tests, with separate integration tests exercising the full path from API to database using real database instances via Testcontainers.</w:t>
      </w:r>
    </w:p>
    <w:p>
      <w:pPr>
        <w:pStyle w:val="Heading2"/>
        <w:spacing w:after="180" w:before="360"/>
      </w:pPr>
      <w:r>
        <w:rPr>
          <w:color w:val="1F3A5F"/>
        </w:rPr>
        <w:t xml:space="preserve">10.3 Quality and operational standards</w:t>
      </w:r>
    </w:p>
    <w:p>
      <w:pPr>
        <w:spacing w:after="120" w:line="320"/>
        <w:jc w:val="both"/>
      </w:pPr>
      <w:r>
        <w:t xml:space="preserve">Wasnie's quality standards are codified in a binding architecture document that governs all development. The document establishes numerical performance baselines, security requirements aligned with OWASP guidance, audit trail requirements appropriate for financial software, testing coverage minimums of eighty percent on the backend and sixty percent on the frontend, and explicit rules for breaking changes, visual changes, and multi-tenant isolation testing.</w:t>
      </w:r>
    </w:p>
    <w:p>
      <w:pPr>
        <w:spacing w:after="120" w:line="320"/>
        <w:jc w:val="both"/>
      </w:pPr>
      <w:r>
        <w:t xml:space="preserve">Deployment is to Microsoft Azure, with continuous integration and deployment from a single main branch. Quality gates including test execution, linting, dependency vulnerability scanning, and bundle size checks are scheduled to be operational in the next development phase. Observability is built on structured JSON logging with correlation identifiers and is scheduled to extend to distributed tracing in the same phase.</w:t>
      </w:r>
    </w:p>
    <w:p>
      <w:r>
        <w:br w:type="page"/>
      </w:r>
    </w:p>
    <w:p>
      <w:pPr>
        <w:pStyle w:val="Heading1"/>
        <w:spacing w:after="240" w:before="480"/>
      </w:pPr>
      <w:r>
        <w:rPr>
          <w:color w:val="1F3A5F"/>
        </w:rPr>
        <w:t xml:space="preserve">11. Founder and Team</w:t>
      </w:r>
    </w:p>
    <w:p>
      <w:pPr>
        <w:pStyle w:val="Heading2"/>
        <w:spacing w:after="180" w:before="360"/>
      </w:pPr>
      <w:r>
        <w:rPr>
          <w:color w:val="1F3A5F"/>
        </w:rPr>
        <w:t xml:space="preserve">11.1 Founder</w:t>
      </w:r>
    </w:p>
    <w:p>
      <w:pPr>
        <w:spacing w:after="120" w:line="320"/>
        <w:jc w:val="both"/>
      </w:pPr>
      <w:r>
        <w:t xml:space="preserve">Wasnie is founded and led by Rodolfo Calvo. The founder brings over twelve years of professional software engineering experience across multiple industries, including financial services, enterprise B2B software, and digital platforms. His career has included roles spanning full-stack development, architectural leadership, and direct ownership of production systems in regulated and operationally critical environments.</w:t>
      </w:r>
    </w:p>
    <w:p>
      <w:pPr>
        <w:spacing w:after="120" w:line="320"/>
        <w:jc w:val="both"/>
      </w:pPr>
      <w:r>
        <w:t xml:space="preserve">The technical decisions documented in this brief — Clean Architecture, strict layer separation, audit-by-design, multi-tenant isolation as a foundational requirement — reflect direct prior experience building and operating systems where the cost of error is measured in customer trust and regulatory exposure. Wasnie's discipline around architectural integrity is not theoretical. It is the application of lessons learned in systems that handle scale and money.</w:t>
      </w:r>
    </w:p>
    <w:p>
      <w:pPr>
        <w:spacing w:after="120" w:line="320"/>
        <w:jc w:val="both"/>
      </w:pPr>
      <w:r>
        <w:t xml:space="preserve">The founder is based in Katowice, Poland, and operates Wasnie as a solo founder during the current development phase. The intent for the commercial launch phase is to add operational and commercial capabilities through a combination of selective hiring, contract specialists, and structured advisory relationships.</w:t>
      </w:r>
    </w:p>
    <w:p>
      <w:pPr>
        <w:pStyle w:val="Heading2"/>
        <w:spacing w:after="180" w:before="360"/>
      </w:pPr>
      <w:r>
        <w:rPr>
          <w:color w:val="1F3A5F"/>
        </w:rPr>
        <w:t xml:space="preserve">11.2 Team development plan</w:t>
      </w:r>
    </w:p>
    <w:p>
      <w:pPr>
        <w:spacing w:after="120" w:line="320"/>
        <w:jc w:val="both"/>
      </w:pPr>
      <w:r>
        <w:t xml:space="preserve">Wasnie's commercial activation will require expanding beyond a single founder. The structured plan for team development is sequenced to follow customer acquisition rather than precede it. The first commercial hire is anticipated to be a customer success operator with sales operations domain knowledge, responsible for onboarding early customers and feeding their structured feedback into the product roadmap. The second hire is anticipated to be a second engineer to allow the founder to dedicate proportionally more time to commercial and product activities.</w:t>
      </w:r>
    </w:p>
    <w:p>
      <w:pPr>
        <w:spacing w:after="120" w:line="320"/>
        <w:jc w:val="both"/>
      </w:pPr>
      <w:r>
        <w:t xml:space="preserve">Beyond the first two hires, team expansion is contingent on customer acquisition milestones and capital structure decisions described in section 12. The intent is to maintain a small, senior, and highly accountable team during the bootstrapped phase, with optionality for accelerated team expansion if external capital is added.</w:t>
      </w:r>
    </w:p>
    <w:p>
      <w:r>
        <w:br w:type="page"/>
      </w:r>
    </w:p>
    <w:p>
      <w:pPr>
        <w:pStyle w:val="Heading1"/>
        <w:spacing w:after="240" w:before="480"/>
      </w:pPr>
      <w:r>
        <w:rPr>
          <w:color w:val="1F3A5F"/>
        </w:rPr>
        <w:t xml:space="preserve">12. Why Wasnie Wins</w:t>
      </w:r>
    </w:p>
    <w:p>
      <w:pPr>
        <w:spacing w:after="120" w:line="320"/>
        <w:jc w:val="both"/>
      </w:pPr>
      <w:r>
        <w:t xml:space="preserve">Wasnie's defensibility against competing options in the mid-market segment rests on four distinct factors that compound over time.</w:t>
      </w:r>
    </w:p>
    <w:p>
      <w:pPr>
        <w:pStyle w:val="Heading2"/>
        <w:spacing w:after="180" w:before="360"/>
      </w:pPr>
      <w:r>
        <w:rPr>
          <w:color w:val="1F3A5F"/>
        </w:rPr>
        <w:t xml:space="preserve">12.1 Segment focus discipline</w:t>
      </w:r>
    </w:p>
    <w:p>
      <w:pPr>
        <w:spacing w:after="120" w:line="320"/>
        <w:jc w:val="both"/>
      </w:pPr>
      <w:r>
        <w:t xml:space="preserve">Most software companies that begin in a defined segment drift up-market over time, attracted by larger contract values and reluctant to turn away interested customers. This drift, predictable and self-reinforcing, creates the opportunity Wasnie addresses. Wasnie's commitment to the mid-market segment is codified in binding documentation that constrains feature decisions, pricing decisions, and customer acquisition decisions. The discipline to stay in segment is itself a defensive position. The customer who chooses Wasnie chooses a vendor who will still match their needs in three years.</w:t>
      </w:r>
    </w:p>
    <w:p>
      <w:pPr>
        <w:pStyle w:val="Heading2"/>
        <w:spacing w:after="180" w:before="360"/>
      </w:pPr>
      <w:r>
        <w:rPr>
          <w:color w:val="1F3A5F"/>
        </w:rPr>
        <w:t xml:space="preserve">12.2 Self-serve architecture</w:t>
      </w:r>
    </w:p>
    <w:p>
      <w:pPr>
        <w:spacing w:after="120" w:line="320"/>
        <w:jc w:val="both"/>
      </w:pPr>
      <w:r>
        <w:t xml:space="preserve">Wasnie's product is built for customer self-operation from day one. This is not a marketing claim; it is an architectural property of the product. The configuration model uses concepts familiar to sales operations professionals. The onboarding flow is structured around the operations leader's actual first week, not a generic implementation script. The simulation capability allows changes to be modeled before commitment. This architecture produces operational gross margins that scale, time-to-value that customers experience in days rather than quarters, and a customer experience that does not depend on the availability of consultants.</w:t>
      </w:r>
    </w:p>
    <w:p>
      <w:pPr>
        <w:pStyle w:val="Heading2"/>
        <w:spacing w:after="180" w:before="360"/>
      </w:pPr>
      <w:r>
        <w:rPr>
          <w:color w:val="1F3A5F"/>
        </w:rPr>
        <w:t xml:space="preserve">12.3 Transparency as strategy</w:t>
      </w:r>
    </w:p>
    <w:p>
      <w:pPr>
        <w:spacing w:after="120" w:line="320"/>
        <w:jc w:val="both"/>
      </w:pPr>
      <w:r>
        <w:t xml:space="preserve">Wasnie's investment in representative transparency — a real-time portal where each salesperson can see their earnings, simulate pending deals, and understand the calculation logic — is not a feature competing against equivalent features in competing products. Industry data establishes that this capability does not exist meaningfully in the segment. Wasnie's strategic positioning of transparency as the central representative experience creates a category-defining differentiator that is structurally difficult for competing products to match without architectural rework.</w:t>
      </w:r>
    </w:p>
    <w:p>
      <w:pPr>
        <w:pStyle w:val="Heading2"/>
        <w:spacing w:after="180" w:before="360"/>
      </w:pPr>
      <w:r>
        <w:rPr>
          <w:color w:val="1F3A5F"/>
        </w:rPr>
        <w:t xml:space="preserve">12.4 Architectural integrity</w:t>
      </w:r>
    </w:p>
    <w:p>
      <w:pPr>
        <w:spacing w:after="120" w:line="320"/>
        <w:jc w:val="both"/>
      </w:pPr>
      <w:r>
        <w:t xml:space="preserve">Wasnie's commitment to architectural discipline — Clean Architecture separation, audit-by-design, multi-tenant isolation as a foundational requirement, financial-grade testing coverage — is invisible to the customer in good times and decisive in bad times. The first customer who discovers a calculation error and finds, in Wasnie's audit log, the precise plan version and rule that produced their commission, recommends Wasnie to two more. The customer who discovers that their competitor has somehow seen their compensation data, never recommends Wasnie's competitor again. These outcomes are products of architectural decisions made in the first development phase, not features that can be added later.</w:t>
      </w:r>
    </w:p>
    <w:p>
      <w:pP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F2F5F8" w:val="clear"/>
            <w:tcMar>
              <w:top w:type="dxa" w:w="200"/>
              <w:left w:type="dxa" w:w="280"/>
              <w:bottom w:type="dxa" w:w="200"/>
              <w:right w:type="dxa" w:w="200"/>
            </w:tcMar>
          </w:tcPr>
          <w:p>
            <w:pPr>
              <w:jc w:val="both"/>
            </w:pPr>
            <w:r>
              <w:rPr>
                <w:i/>
                <w:iCs/>
                <w:color w:val="1F3A5F"/>
                <w:sz w:val="22"/>
                <w:szCs w:val="22"/>
              </w:rPr>
              <w:t xml:space="preserve">Wasnie's defensibility is not based on a feature competitors cannot copy. It is based on a discipline competitors will not choose. Discipline is the most underestimated competitive moat in software.</w:t>
            </w:r>
          </w:p>
        </w:tc>
      </w:tr>
    </w:tbl>
    <w:p>
      <w:r>
        <w:br w:type="page"/>
      </w:r>
    </w:p>
    <w:p>
      <w:pPr>
        <w:pStyle w:val="Heading1"/>
        <w:spacing w:after="240" w:before="480"/>
      </w:pPr>
      <w:r>
        <w:rPr>
          <w:color w:val="1F3A5F"/>
        </w:rPr>
        <w:t xml:space="preserve">13. Outlook</w:t>
      </w:r>
    </w:p>
    <w:p>
      <w:pPr>
        <w:pStyle w:val="Heading2"/>
        <w:spacing w:after="180" w:before="360"/>
      </w:pPr>
      <w:r>
        <w:rPr>
          <w:color w:val="1F3A5F"/>
        </w:rPr>
        <w:t xml:space="preserve">13.1 Twelve-month outlook</w:t>
      </w:r>
    </w:p>
    <w:p>
      <w:pPr>
        <w:spacing w:after="120" w:line="320"/>
        <w:jc w:val="both"/>
      </w:pPr>
      <w:r>
        <w:t xml:space="preserve">Over the next twelve months, Wasnie is expected to complete development through Phase 4, reaching the minimum sellable product. The intent is to engage three to five design partner customers during Phase 2 and Phase 3 development, with commercial conversion of one or two of those partners coinciding with Phase 4 closure. The commercial launch is positioned for late 2026 or early 2027, with the first ten paying customers targeted within six months of commercial activity beginning.</w:t>
      </w:r>
    </w:p>
    <w:p>
      <w:pPr>
        <w:pStyle w:val="Heading2"/>
        <w:spacing w:after="180" w:before="360"/>
      </w:pPr>
      <w:r>
        <w:rPr>
          <w:color w:val="1F3A5F"/>
        </w:rPr>
        <w:t xml:space="preserve">13.2 Capital and structure</w:t>
      </w:r>
    </w:p>
    <w:p>
      <w:pPr>
        <w:spacing w:after="120" w:line="320"/>
        <w:jc w:val="both"/>
      </w:pPr>
      <w:r>
        <w:t xml:space="preserve">Wasnie operates as a bootstrapped venture in its current development phase. The technical foundation has been built by the founder without external capital, in line with a deliberate choice to defer external dependencies until the product has proven its core hypotheses. Capital may be raised in a future phase to accelerate commercial growth, expand the team beyond the structured plan described in section 11, or extend geographic reach. The current operating premise is that capital raise is optional and strategic, not survival.</w:t>
      </w:r>
    </w:p>
    <w:p>
      <w:pPr>
        <w:spacing w:after="120" w:line="320"/>
        <w:jc w:val="both"/>
      </w:pPr>
      <w:r>
        <w:t xml:space="preserve">Conversations with prospective investors, advisors, or strategic partners are welcomed at this stage in the form of structured exchanges of perspective rather than transactional engagements. Wasnie's position is that the relationships established early matter more than the capital.</w:t>
      </w:r>
    </w:p>
    <w:p>
      <w:pPr>
        <w:pStyle w:val="Heading2"/>
        <w:spacing w:after="180" w:before="360"/>
      </w:pPr>
      <w:r>
        <w:rPr>
          <w:color w:val="1F3A5F"/>
        </w:rPr>
        <w:t xml:space="preserve">13.3 Closing</w:t>
      </w:r>
    </w:p>
    <w:p>
      <w:pPr>
        <w:spacing w:after="120" w:line="320"/>
        <w:jc w:val="both"/>
      </w:pPr>
      <w:r>
        <w:t xml:space="preserve">Wasnie addresses a category in which the established options are too complex for the segment they target, in which the dominant alternative is a spreadsheet, and in which the operational reality of the people running compensation today is one of weekend work and chronic frustration. The opportunity to do this well, in a segment specifically underserved in Europe and Latin America, is unusual.</w:t>
      </w:r>
    </w:p>
    <w:p>
      <w:pPr>
        <w:spacing w:after="120" w:line="320"/>
        <w:jc w:val="both"/>
      </w:pPr>
      <w:r>
        <w:t xml:space="preserve">Wasnie is built by an engineer who has spent his career in systems where the cost of error is measured in trust and money. The architectural decisions documented in the supporting technical specification, the product decisions documented in the product specification, the operational decisions documented in the master plan, and the commercial framing in this brief are all expressions of a single point of view: the mid-market sales operations team deserves a tool built specifically for them, by people who understand what they actually do.</w:t>
      </w:r>
    </w:p>
    <w:p>
      <w:pPr>
        <w:spacing w:after="120" w:line="320"/>
        <w:jc w:val="both"/>
      </w:pPr>
      <w:r>
        <w:t xml:space="preserve">This document is a statement of that intent.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Confidential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8"/>
      </w:pBdr>
      <w:jc w:val="right"/>
    </w:pPr>
    <w:r>
      <w:rPr>
        <w:i/>
        <w:iCs/>
        <w:color w:val="595959"/>
        <w:sz w:val="18"/>
        <w:szCs w:val="18"/>
      </w:rPr>
      <w:t xml:space="preserve">Wasnie  ·  Business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Wasnie — Business Brief</dc:title>
  <dc:creator>Rodolfo Calvo</dc:creator>
  <dc:description>Market analysis, product vision, and go-to-market strategy</dc:description>
  <cp:lastModifiedBy>Un-named</cp:lastModifiedBy>
  <cp:revision>1</cp:revision>
  <dcterms:created xsi:type="dcterms:W3CDTF">2026-05-26T12:30:24.055Z</dcterms:created>
  <dcterms:modified xsi:type="dcterms:W3CDTF">2026-05-26T12:30:24.055Z</dcterms:modified>
</cp:coreProperties>
</file>

<file path=docProps/custom.xml><?xml version="1.0" encoding="utf-8"?>
<Properties xmlns="http://schemas.openxmlformats.org/officeDocument/2006/custom-properties" xmlns:vt="http://schemas.openxmlformats.org/officeDocument/2006/docPropsVTypes"/>
</file>