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11827"/>
          <w:sz w:val="48"/>
          <w:szCs w:val="48"/>
        </w:rPr>
        <w:t xml:space="preserve">RunOil</w:t>
      </w:r>
    </w:p>
    <w:p>
      <w:pPr>
        <w:spacing w:after="60"/>
      </w:pPr>
      <w:r>
        <w:rPr>
          <w:color w:val="334155"/>
          <w:sz w:val="28"/>
          <w:szCs w:val="28"/>
        </w:rPr>
        <w:t xml:space="preserve">Brand &amp; Messaging Brief</w:t>
      </w:r>
    </w:p>
    <w:p>
      <w:pPr>
        <w:spacing w:after="240"/>
      </w:pPr>
      <w:r>
        <w:rPr>
          <w:i/>
          <w:iCs/>
          <w:color w:val="64748B"/>
          <w:sz w:val="21"/>
          <w:szCs w:val="21"/>
        </w:rPr>
        <w:t xml:space="preserve">A creative brief for the development of brand strategy, identity, brand book, and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Product</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sz w:val="22"/>
                <w:szCs w:val="22"/>
              </w:rPr>
              <w:t xml:space="preserve">RunOil — an organizational intelligence platform for the AI era</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Category</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sz w:val="22"/>
                <w:szCs w:val="22"/>
              </w:rPr>
              <w:t xml:space="preserve">Organizational truth &amp; AI-governance layer (not enterprise search)</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Stage</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sz w:val="22"/>
                <w:szCs w:val="22"/>
              </w:rPr>
              <w:t xml:space="preserve">Pre-launch; founder-led</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Primary audience</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sz w:val="22"/>
                <w:szCs w:val="22"/>
              </w:rPr>
              <w:t xml:space="preserve">Mid-market companies already using AI (Claude, ChatGPT, Grok)</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Secondary audience</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sz w:val="22"/>
                <w:szCs w:val="22"/>
              </w:rPr>
              <w:t xml:space="preserve">Independent AI consultants / implementation partners</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What we need</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sz w:val="22"/>
                <w:szCs w:val="22"/>
              </w:rPr>
              <w:t xml:space="preserve">Brand strategy, identity system &amp; brand book, naming validation, tagline &amp; messaging</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Timeline</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i/>
                <w:iCs/>
                <w:color w:val="64748B"/>
                <w:sz w:val="22"/>
                <w:szCs w:val="22"/>
              </w:rPr>
              <w:t xml:space="preserve">[to be provided]</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Budget range</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i/>
                <w:iCs/>
                <w:color w:val="64748B"/>
                <w:sz w:val="22"/>
                <w:szCs w:val="22"/>
              </w:rPr>
              <w:t xml:space="preserve">[to be provided]</w:t>
            </w:r>
          </w:p>
        </w:tc>
      </w:tr>
      <w:tr>
        <w:tc>
          <w:tcPr>
            <w:tcW w:type="dxa" w:w="2700"/>
            <w:tcBorders>
              <w:top w:val="single" w:color="DDDDDD" w:sz="1"/>
              <w:left w:val="single" w:color="DDDDDD" w:sz="1"/>
              <w:bottom w:val="single" w:color="DDDDDD" w:sz="1"/>
              <w:right w:val="single" w:color="DDDDDD" w:sz="1"/>
            </w:tcBorders>
            <w:shd w:fill="EEF2F6" w:val="clear"/>
            <w:tcMar>
              <w:top w:type="dxa" w:w="70"/>
              <w:left w:type="dxa" w:w="130"/>
              <w:bottom w:type="dxa" w:w="70"/>
              <w:right w:type="dxa" w:w="130"/>
            </w:tcMar>
          </w:tcPr>
          <w:p>
            <w:r>
              <w:rPr>
                <w:b/>
                <w:bCs/>
                <w:color w:val="334155"/>
                <w:sz w:val="21"/>
                <w:szCs w:val="21"/>
              </w:rPr>
              <w:t xml:space="preserve">Contact</w:t>
            </w:r>
          </w:p>
        </w:tc>
        <w:tc>
          <w:tcPr>
            <w:tcW w:type="dxa" w:w="6660"/>
            <w:tcBorders>
              <w:top w:val="single" w:color="DDDDDD" w:sz="1"/>
              <w:left w:val="single" w:color="DDDDDD" w:sz="1"/>
              <w:bottom w:val="single" w:color="DDDDDD" w:sz="1"/>
              <w:right w:val="single" w:color="DDDDDD" w:sz="1"/>
            </w:tcBorders>
            <w:tcMar>
              <w:top w:type="dxa" w:w="70"/>
              <w:left w:type="dxa" w:w="130"/>
              <w:bottom w:type="dxa" w:w="70"/>
              <w:right w:type="dxa" w:w="130"/>
            </w:tcMar>
          </w:tcPr>
          <w:p>
            <w:r>
              <w:rPr>
                <w:i/>
                <w:iCs/>
                <w:color w:val="64748B"/>
                <w:sz w:val="22"/>
                <w:szCs w:val="22"/>
              </w:rPr>
              <w:t xml:space="preserve">[to be provided]</w:t>
            </w:r>
          </w:p>
        </w:tc>
      </w:tr>
    </w:tbl>
    <w:p>
      <w:pPr>
        <w:pStyle w:val="Heading1"/>
        <w:pBdr>
          <w:bottom w:val="single" w:color="334155" w:sz="6" w:space="4"/>
        </w:pBdr>
        <w:spacing w:after="140" w:before="320"/>
      </w:pPr>
      <w:r>
        <w:t xml:space="preserve">Purpose of this brief</w:t>
      </w:r>
    </w:p>
    <w:p>
      <w:pPr>
        <w:spacing w:after="120" w:line="276"/>
      </w:pPr>
      <w:r>
        <w:rPr>
          <w:sz w:val="22"/>
          <w:szCs w:val="22"/>
        </w:rPr>
        <w:t xml:space="preserve">We are seeking a brand partner to develop the complete brand identity and messaging for RunOil. This document explains what RunOil is, who it serves, how it is positioned, and what we need from you. It is written to give you enough strategic grounding to come back with a strong, opinionated proposal — including your recommendation on the name. Treat the positioning, personality, and messaging notes below as well-considered starting points, not constraints. We want your point of view.</w:t>
      </w:r>
    </w:p>
    <w:p>
      <w:pPr>
        <w:pStyle w:val="Heading1"/>
        <w:pBdr>
          <w:bottom w:val="single" w:color="334155" w:sz="6" w:space="4"/>
        </w:pBdr>
        <w:spacing w:after="140" w:before="320"/>
      </w:pPr>
      <w:r>
        <w:t xml:space="preserve">About RunOil</w:t>
      </w:r>
    </w:p>
    <w:p>
      <w:pPr>
        <w:spacing w:after="120" w:line="276"/>
      </w:pPr>
      <w:r>
        <w:rPr>
          <w:sz w:val="22"/>
          <w:szCs w:val="22"/>
        </w:rPr>
        <w:t xml:space="preserve">RunOil is the system of record for how a company actually works. As organizations roll out AI assistants — Claude, ChatGPT, Grok and others — those tools are only as useful as the truth they are given, and most companies have never captured that truth in a usable, governed form. RunOil curates a company’s real processes, decisions, and operating reality into a single trusted source, then publishes it into whatever AI tools the company already uses. The outcome is simple to state: the company’s AI stops being confidently wrong about the company’s own business.</w:t>
      </w:r>
    </w:p>
    <w:p>
      <w:pPr>
        <w:pStyle w:val="Heading1"/>
        <w:pBdr>
          <w:bottom w:val="single" w:color="334155" w:sz="6" w:space="4"/>
        </w:pBdr>
        <w:spacing w:after="140" w:before="320"/>
      </w:pPr>
      <w:r>
        <w:t xml:space="preserve">The problem we solve</w:t>
      </w:r>
    </w:p>
    <w:p>
      <w:pPr>
        <w:spacing w:after="120" w:line="276"/>
      </w:pPr>
      <w:r>
        <w:rPr>
          <w:sz w:val="22"/>
          <w:szCs w:val="22"/>
        </w:rPr>
        <w:t xml:space="preserve">Mid-market companies have adopted AI faster than they have organized for it. Their assistants answer fluently — and often incorrectly — about internal processes, policies, and decisions, because no one has curated the ground truth, and because what is written down frequently does not match what actually happens day to day. That gap between the documented and the real is where confidence in AI quietly breaks. RunOil exists to close it.</w:t>
      </w:r>
    </w:p>
    <w:p>
      <w:pPr>
        <w:pStyle w:val="Heading1"/>
        <w:pBdr>
          <w:bottom w:val="single" w:color="334155" w:sz="6" w:space="4"/>
        </w:pBdr>
        <w:spacing w:after="140" w:before="320"/>
      </w:pPr>
      <w:r>
        <w:t xml:space="preserve">How it works</w:t>
      </w:r>
    </w:p>
    <w:p>
      <w:pPr>
        <w:spacing w:after="120" w:line="276"/>
      </w:pPr>
      <w:r>
        <w:rPr>
          <w:sz w:val="22"/>
          <w:szCs w:val="22"/>
        </w:rPr>
        <w:t xml:space="preserve">Three movements, in plain terms:</w:t>
      </w:r>
    </w:p>
    <w:p>
      <w:pPr>
        <w:pStyle w:val="ListParagraph"/>
        <w:numPr>
          <w:ilvl w:val="0"/>
          <w:numId w:val="2"/>
        </w:numPr>
        <w:spacing w:after="80" w:line="270"/>
      </w:pPr>
      <w:r>
        <w:rPr>
          <w:b/>
          <w:bCs/>
          <w:sz w:val="22"/>
          <w:szCs w:val="22"/>
        </w:rPr>
        <w:t xml:space="preserve">Capture. </w:t>
      </w:r>
      <w:r>
        <w:rPr>
          <w:sz w:val="22"/>
          <w:szCs w:val="22"/>
        </w:rPr>
        <w:t xml:space="preserve">Guided discovery sessions with leaders and staff surface how the organization truly operates — including the friction, bottlenecks, and unresolved loops that never make it into a document.</w:t>
      </w:r>
    </w:p>
    <w:p>
      <w:pPr>
        <w:pStyle w:val="ListParagraph"/>
        <w:numPr>
          <w:ilvl w:val="0"/>
          <w:numId w:val="2"/>
        </w:numPr>
        <w:spacing w:after="80" w:line="270"/>
      </w:pPr>
      <w:r>
        <w:rPr>
          <w:b/>
          <w:bCs/>
          <w:sz w:val="22"/>
          <w:szCs w:val="22"/>
        </w:rPr>
        <w:t xml:space="preserve">Reconcile. </w:t>
      </w:r>
      <w:r>
        <w:rPr>
          <w:sz w:val="22"/>
          <w:szCs w:val="22"/>
        </w:rPr>
        <w:t xml:space="preserve">RunOil triangulates three views of the truth — what leadership believes, what staff actually live, and what the documents claim — and flags every gap between them.</w:t>
      </w:r>
    </w:p>
    <w:p>
      <w:pPr>
        <w:pStyle w:val="ListParagraph"/>
        <w:numPr>
          <w:ilvl w:val="0"/>
          <w:numId w:val="2"/>
        </w:numPr>
        <w:spacing w:after="80" w:line="270"/>
      </w:pPr>
      <w:r>
        <w:rPr>
          <w:b/>
          <w:bCs/>
          <w:sz w:val="22"/>
          <w:szCs w:val="22"/>
        </w:rPr>
        <w:t xml:space="preserve">Govern &amp; publish. </w:t>
      </w:r>
      <w:r>
        <w:rPr>
          <w:sz w:val="22"/>
          <w:szCs w:val="22"/>
        </w:rPr>
        <w:t xml:space="preserve">The verified truth becomes a living, governed source that feeds the company’s existing AI tools through open standards, so every assistant works from the same reality.</w:t>
      </w:r>
    </w:p>
    <w:p>
      <w:pPr>
        <w:pStyle w:val="Heading1"/>
        <w:pBdr>
          <w:bottom w:val="single" w:color="334155" w:sz="6" w:space="4"/>
        </w:pBdr>
        <w:spacing w:after="140" w:before="320"/>
      </w:pPr>
      <w:r>
        <w:t xml:space="preserve">What makes us different</w:t>
      </w:r>
    </w:p>
    <w:p>
      <w:pPr>
        <w:spacing w:after="120" w:line="276"/>
      </w:pPr>
      <w:r>
        <w:rPr>
          <w:sz w:val="22"/>
          <w:szCs w:val="22"/>
        </w:rPr>
        <w:t xml:space="preserve">Most “AI for work” products are retrieval engines: they find and summarize what already exists in your files. RunOil is a different category in three ways. It </w:t>
      </w:r>
      <w:r>
        <w:rPr>
          <w:b/>
          <w:bCs/>
          <w:sz w:val="22"/>
          <w:szCs w:val="22"/>
        </w:rPr>
        <w:t xml:space="preserve">captures truth that lives in no document</w:t>
      </w:r>
      <w:r>
        <w:rPr>
          <w:sz w:val="22"/>
          <w:szCs w:val="22"/>
        </w:rPr>
        <w:t xml:space="preserve">; it </w:t>
      </w:r>
      <w:r>
        <w:rPr>
          <w:b/>
          <w:bCs/>
          <w:sz w:val="22"/>
          <w:szCs w:val="22"/>
        </w:rPr>
        <w:t xml:space="preserve">reconciles conflicting versions</w:t>
      </w:r>
      <w:r>
        <w:rPr>
          <w:sz w:val="22"/>
          <w:szCs w:val="22"/>
        </w:rPr>
        <w:t xml:space="preserve"> of that truth rather than just surfacing them; and it is </w:t>
      </w:r>
      <w:r>
        <w:rPr>
          <w:b/>
          <w:bCs/>
          <w:sz w:val="22"/>
          <w:szCs w:val="22"/>
        </w:rPr>
        <w:t xml:space="preserve">model-neutral by design</w:t>
      </w:r>
      <w:r>
        <w:rPr>
          <w:sz w:val="22"/>
          <w:szCs w:val="22"/>
        </w:rPr>
        <w:t xml:space="preserve">, sitting above whichever AI tools a company chooses rather than locking them in. We are a governance and truth layer — not another search box. The brand needs to make that distinction feel obvious and credible.</w:t>
      </w:r>
    </w:p>
    <w:p>
      <w:pPr>
        <w:pStyle w:val="Heading1"/>
        <w:pBdr>
          <w:bottom w:val="single" w:color="334155" w:sz="6" w:space="4"/>
        </w:pBdr>
        <w:spacing w:after="140" w:before="320"/>
      </w:pPr>
      <w:r>
        <w:t xml:space="preserve">Who we’re talking to</w:t>
      </w:r>
    </w:p>
    <w:p>
      <w:pPr>
        <w:spacing w:after="120" w:line="276"/>
      </w:pPr>
      <w:r>
        <w:rPr>
          <w:sz w:val="22"/>
          <w:szCs w:val="22"/>
        </w:rPr>
        <w:t xml:space="preserve">The brand must speak convincingly to two audiences at once:</w:t>
      </w:r>
    </w:p>
    <w:p>
      <w:pPr>
        <w:pStyle w:val="ListParagraph"/>
        <w:numPr>
          <w:ilvl w:val="0"/>
          <w:numId w:val="3"/>
        </w:numPr>
        <w:spacing w:after="80" w:line="270"/>
      </w:pPr>
      <w:r>
        <w:rPr>
          <w:b/>
          <w:bCs/>
          <w:sz w:val="22"/>
          <w:szCs w:val="22"/>
        </w:rPr>
        <w:t xml:space="preserve">The buyer / champion. </w:t>
      </w:r>
      <w:r>
        <w:rPr>
          <w:sz w:val="22"/>
          <w:szCs w:val="22"/>
        </w:rPr>
        <w:t xml:space="preserve">A technical or operations leader at a mid-market company responsible for making the company’s AI investment actually deliver. Pragmatic, time-poor, skeptical of hype, accountable for results, and highly sensitive to trust and security.</w:t>
      </w:r>
    </w:p>
    <w:p>
      <w:pPr>
        <w:pStyle w:val="ListParagraph"/>
        <w:numPr>
          <w:ilvl w:val="0"/>
          <w:numId w:val="3"/>
        </w:numPr>
        <w:spacing w:after="80" w:line="270"/>
      </w:pPr>
      <w:r>
        <w:rPr>
          <w:b/>
          <w:bCs/>
          <w:sz w:val="22"/>
          <w:szCs w:val="22"/>
        </w:rPr>
        <w:t xml:space="preserve">The partner. </w:t>
      </w:r>
      <w:r>
        <w:rPr>
          <w:sz w:val="22"/>
          <w:szCs w:val="22"/>
        </w:rPr>
        <w:t xml:space="preserve">Independent AI consultants who deliver RunOil engagements to their own clients and act as our distribution channel. The brand must make them proud to represent it and confident putting it in front of their clients.</w:t>
      </w:r>
    </w:p>
    <w:p>
      <w:pPr>
        <w:pStyle w:val="Heading1"/>
        <w:pBdr>
          <w:bottom w:val="single" w:color="334155" w:sz="6" w:space="4"/>
        </w:pBdr>
        <w:spacing w:after="140" w:before="320"/>
      </w:pPr>
      <w:r>
        <w:t xml:space="preserve">Positioning (draft — refine this)</w:t>
      </w:r>
    </w:p>
    <w:p>
      <w:pPr>
        <w:spacing w:after="120" w:line="276"/>
      </w:pPr>
      <w:r>
        <w:rPr>
          <w:i/>
          <w:iCs/>
          <w:sz w:val="22"/>
          <w:szCs w:val="22"/>
        </w:rPr>
        <w:t xml:space="preserve">For mid-market organizations adopting AI, RunOil is the neutral system of record for organizational truth that makes every AI tool trustworthy — because it captures, reconciles, and governs how the company actually works. Where enterprise search and AI assistants retrieve what is already written, RunOil establishes what is true.</w:t>
      </w:r>
    </w:p>
    <w:p>
      <w:pPr>
        <w:pStyle w:val="Heading1"/>
        <w:pBdr>
          <w:bottom w:val="single" w:color="334155" w:sz="6" w:space="4"/>
        </w:pBdr>
        <w:spacing w:after="140" w:before="320"/>
      </w:pPr>
      <w:r>
        <w:t xml:space="preserve">Brand personality</w:t>
      </w:r>
    </w:p>
    <w:p>
      <w:pPr>
        <w:spacing w:after="120" w:line="276"/>
      </w:pPr>
      <w:r>
        <w:rPr>
          <w:sz w:val="22"/>
          <w:szCs w:val="22"/>
        </w:rPr>
        <w:t xml:space="preserve">Trustworthy, neutral, clear, rigorous, calm. Authoritative without being cold; modern without chasing trends. The feeling we want is “the trusted system of record” — the thing serious people quietly rely on — carried with enough warmth and clarity to feel human and approachable to a mid-market team, not stiff or enterprise-corporate. A steadying, credible presence in an over-hyped category.</w:t>
      </w:r>
    </w:p>
    <w:p>
      <w:pPr>
        <w:pStyle w:val="Heading1"/>
        <w:pBdr>
          <w:bottom w:val="single" w:color="334155" w:sz="6" w:space="4"/>
        </w:pBdr>
        <w:spacing w:after="140" w:before="320"/>
      </w:pPr>
      <w:r>
        <w:t xml:space="preserve">Voice &amp; tone</w:t>
      </w:r>
    </w:p>
    <w:p>
      <w:pPr>
        <w:spacing w:after="120" w:line="276"/>
      </w:pPr>
      <w:r>
        <w:rPr>
          <w:sz w:val="22"/>
          <w:szCs w:val="22"/>
        </w:rPr>
        <w:t xml:space="preserve">Direct, plain-spoken, confident, evidence-led. We do not hype. We name the problem honestly and explain how we solve it. We sound like a sharp advisor who respects the reader’s intelligence and time — no jargon for its own sake, no breathless AI buzzwords, no fear-mongering. (The tone of this brief is itself a fair sample of the voice we’re drawn to.)</w:t>
      </w:r>
    </w:p>
    <w:p>
      <w:pPr>
        <w:pStyle w:val="Heading1"/>
        <w:pBdr>
          <w:bottom w:val="single" w:color="334155" w:sz="6" w:space="4"/>
        </w:pBdr>
        <w:spacing w:after="140" w:before="320"/>
      </w:pPr>
      <w:r>
        <w:t xml:space="preserve">The name</w:t>
      </w:r>
    </w:p>
    <w:p>
      <w:pPr>
        <w:spacing w:after="120" w:line="276"/>
      </w:pPr>
      <w:r>
        <w:rPr>
          <w:sz w:val="22"/>
          <w:szCs w:val="22"/>
        </w:rPr>
        <w:t xml:space="preserve">“RunOil” is the current working name. </w:t>
      </w:r>
      <w:r>
        <w:rPr>
          <w:i/>
          <w:iCs/>
          <w:color w:val="64748B"/>
          <w:sz w:val="22"/>
          <w:szCs w:val="22"/>
        </w:rPr>
        <w:t xml:space="preserve">[Founder to add the origin and intent behind the name here.]</w:t>
      </w:r>
    </w:p>
    <w:p>
      <w:pPr>
        <w:spacing w:after="120" w:line="276"/>
      </w:pPr>
      <w:r>
        <w:rPr>
          <w:sz w:val="22"/>
          <w:szCs w:val="22"/>
        </w:rPr>
        <w:t xml:space="preserve">We are open to you pressure-testing it. Build equity in it, refine it, or propose alternatives with a clear rationale. Whatever your recommendation, we want a name and wordmark that read as trustworthy infrastructure — something a company would stake its operating truth on — rather than a flashy consumer app.</w:t>
      </w:r>
    </w:p>
    <w:p>
      <w:pPr>
        <w:pStyle w:val="Heading1"/>
        <w:pBdr>
          <w:bottom w:val="single" w:color="334155" w:sz="6" w:space="4"/>
        </w:pBdr>
        <w:spacing w:after="140" w:before="320"/>
      </w:pPr>
      <w:r>
        <w:t xml:space="preserve">Messaging raw material</w:t>
      </w:r>
    </w:p>
    <w:p>
      <w:pPr>
        <w:spacing w:after="120" w:line="276"/>
      </w:pPr>
      <w:r>
        <w:rPr>
          <w:sz w:val="22"/>
          <w:szCs w:val="22"/>
        </w:rPr>
        <w:t xml:space="preserve">Source ideas to draw from for taglines and a messaging framework (these are sparks, not mandates):</w:t>
      </w:r>
    </w:p>
    <w:p>
      <w:pPr>
        <w:pStyle w:val="ListParagraph"/>
        <w:numPr>
          <w:ilvl w:val="0"/>
          <w:numId w:val="4"/>
        </w:numPr>
        <w:spacing w:after="80" w:line="270"/>
      </w:pPr>
      <w:r>
        <w:rPr>
          <w:sz w:val="22"/>
          <w:szCs w:val="22"/>
        </w:rPr>
        <w:t xml:space="preserve">“Where companies finally learn how they actually work.” (an early draft line, included only as a reference point)</w:t>
      </w:r>
    </w:p>
    <w:p>
      <w:pPr>
        <w:pStyle w:val="ListParagraph"/>
        <w:numPr>
          <w:ilvl w:val="0"/>
          <w:numId w:val="4"/>
        </w:numPr>
        <w:spacing w:after="80" w:line="270"/>
      </w:pPr>
      <w:r>
        <w:rPr>
          <w:sz w:val="22"/>
          <w:szCs w:val="22"/>
        </w:rPr>
        <w:t xml:space="preserve">Your AI is only as good as the truth you give it.</w:t>
      </w:r>
    </w:p>
    <w:p>
      <w:pPr>
        <w:pStyle w:val="ListParagraph"/>
        <w:numPr>
          <w:ilvl w:val="0"/>
          <w:numId w:val="4"/>
        </w:numPr>
        <w:spacing w:after="80" w:line="270"/>
      </w:pPr>
      <w:r>
        <w:rPr>
          <w:sz w:val="22"/>
          <w:szCs w:val="22"/>
        </w:rPr>
        <w:t xml:space="preserve">The system of record for how your company actually works.</w:t>
      </w:r>
    </w:p>
    <w:p>
      <w:pPr>
        <w:pStyle w:val="ListParagraph"/>
        <w:numPr>
          <w:ilvl w:val="0"/>
          <w:numId w:val="4"/>
        </w:numPr>
        <w:spacing w:after="80" w:line="270"/>
      </w:pPr>
      <w:r>
        <w:rPr>
          <w:sz w:val="22"/>
          <w:szCs w:val="22"/>
        </w:rPr>
        <w:t xml:space="preserve">What leadership believes, what staff live, what the documents say — reconciled.</w:t>
      </w:r>
    </w:p>
    <w:p>
      <w:pPr>
        <w:pStyle w:val="ListParagraph"/>
        <w:numPr>
          <w:ilvl w:val="0"/>
          <w:numId w:val="4"/>
        </w:numPr>
        <w:spacing w:after="80" w:line="270"/>
      </w:pPr>
      <w:r>
        <w:rPr>
          <w:sz w:val="22"/>
          <w:szCs w:val="22"/>
        </w:rPr>
        <w:t xml:space="preserve">Stop your AI from being confidently wrong about your own business.</w:t>
      </w:r>
    </w:p>
    <w:p>
      <w:pPr>
        <w:spacing w:after="120" w:line="276"/>
      </w:pPr>
      <w:r>
        <w:rPr>
          <w:sz w:val="22"/>
          <w:szCs w:val="22"/>
        </w:rPr>
        <w:t xml:space="preserve">From this, we would like: a primary tagline, three to five alternates, and a short messaging framework (a one-liner, an elevator version, and three supporting pillars) that works for both the buyer and the partner audience.</w:t>
      </w:r>
    </w:p>
    <w:p>
      <w:pPr>
        <w:pStyle w:val="Heading1"/>
        <w:pBdr>
          <w:bottom w:val="single" w:color="334155" w:sz="6" w:space="4"/>
        </w:pBdr>
        <w:spacing w:after="140" w:before="320"/>
      </w:pPr>
      <w:r>
        <w:t xml:space="preserve">Mandatories &amp; guardrails</w:t>
      </w:r>
    </w:p>
    <w:p>
      <w:pPr>
        <w:pStyle w:val="Heading2"/>
        <w:spacing w:after="80" w:before="200"/>
      </w:pPr>
      <w:r>
        <w:t xml:space="preserve">Must convey</w:t>
      </w:r>
    </w:p>
    <w:p>
      <w:pPr>
        <w:spacing w:after="120" w:line="276"/>
      </w:pPr>
      <w:r>
        <w:rPr>
          <w:sz w:val="22"/>
          <w:szCs w:val="22"/>
        </w:rPr>
        <w:t xml:space="preserve">Trust, neutrality, clarity, rigor, and safety.</w:t>
      </w:r>
    </w:p>
    <w:p>
      <w:pPr>
        <w:pStyle w:val="Heading2"/>
        <w:spacing w:after="80" w:before="200"/>
      </w:pPr>
      <w:r>
        <w:t xml:space="preserve">Please avoid</w:t>
      </w:r>
    </w:p>
    <w:p>
      <w:pPr>
        <w:pStyle w:val="ListParagraph"/>
        <w:numPr>
          <w:ilvl w:val="0"/>
          <w:numId w:val="4"/>
        </w:numPr>
        <w:spacing w:after="80" w:line="270"/>
      </w:pPr>
      <w:r>
        <w:rPr>
          <w:sz w:val="22"/>
          <w:szCs w:val="22"/>
        </w:rPr>
        <w:t xml:space="preserve">Generic “AI startup” visual clichés — purple/blue gradients, glowing orbs, neural-network swirls, brain or robot motifs.</w:t>
      </w:r>
    </w:p>
    <w:p>
      <w:pPr>
        <w:pStyle w:val="ListParagraph"/>
        <w:numPr>
          <w:ilvl w:val="0"/>
          <w:numId w:val="4"/>
        </w:numPr>
        <w:spacing w:after="80" w:line="270"/>
      </w:pPr>
      <w:r>
        <w:rPr>
          <w:sz w:val="22"/>
          <w:szCs w:val="22"/>
        </w:rPr>
        <w:t xml:space="preserve">Any surveillance, monitoring, or “watching employees” connotation. RunOil depends on employee trust to function; the brand must feel safe and on the employee’s side — never Big-Brother.</w:t>
      </w:r>
    </w:p>
    <w:p>
      <w:pPr>
        <w:pStyle w:val="ListParagraph"/>
        <w:numPr>
          <w:ilvl w:val="0"/>
          <w:numId w:val="4"/>
        </w:numPr>
        <w:spacing w:after="80" w:line="270"/>
      </w:pPr>
      <w:r>
        <w:rPr>
          <w:sz w:val="22"/>
          <w:szCs w:val="22"/>
        </w:rPr>
        <w:t xml:space="preserve">Hype, hyperbole, and fear-based messaging.</w:t>
      </w:r>
    </w:p>
    <w:p>
      <w:pPr>
        <w:pStyle w:val="Heading1"/>
        <w:pBdr>
          <w:bottom w:val="single" w:color="334155" w:sz="6" w:space="4"/>
        </w:pBdr>
        <w:spacing w:after="140" w:before="320"/>
      </w:pPr>
      <w:r>
        <w:t xml:space="preserve">Reference territory</w:t>
      </w:r>
    </w:p>
    <w:p>
      <w:pPr>
        <w:spacing w:after="120" w:line="276"/>
      </w:pPr>
      <w:r>
        <w:rPr>
          <w:sz w:val="22"/>
          <w:szCs w:val="22"/>
        </w:rPr>
        <w:t xml:space="preserve">Directional, not prescriptive: we admire the quiet confidence and clarity of modern infrastructure and trust brands — the categories where reliability itself is the product. Lean timeless, precise, and credible over trendy. </w:t>
      </w:r>
      <w:r>
        <w:rPr>
          <w:i/>
          <w:iCs/>
          <w:color w:val="64748B"/>
          <w:sz w:val="22"/>
          <w:szCs w:val="22"/>
        </w:rPr>
        <w:t xml:space="preserve">[Founder may add specific brands they like or dislike, and any visual references, here.]</w:t>
      </w:r>
    </w:p>
    <w:p>
      <w:pPr>
        <w:pStyle w:val="Heading1"/>
        <w:pBdr>
          <w:bottom w:val="single" w:color="334155" w:sz="6" w:space="4"/>
        </w:pBdr>
        <w:spacing w:after="140" w:before="320"/>
      </w:pPr>
      <w:r>
        <w:t xml:space="preserve">What we’d like in your proposal</w:t>
      </w:r>
    </w:p>
    <w:p>
      <w:pPr>
        <w:pStyle w:val="ListParagraph"/>
        <w:numPr>
          <w:ilvl w:val="0"/>
          <w:numId w:val="5"/>
        </w:numPr>
        <w:spacing w:after="80" w:line="270"/>
      </w:pPr>
      <w:r>
        <w:rPr>
          <w:sz w:val="22"/>
          <w:szCs w:val="22"/>
        </w:rPr>
        <w:t xml:space="preserve">Your read on our positioning and a recommended brand strategy.</w:t>
      </w:r>
    </w:p>
    <w:p>
      <w:pPr>
        <w:pStyle w:val="ListParagraph"/>
        <w:numPr>
          <w:ilvl w:val="0"/>
          <w:numId w:val="5"/>
        </w:numPr>
        <w:spacing w:after="80" w:line="270"/>
      </w:pPr>
      <w:r>
        <w:rPr>
          <w:sz w:val="22"/>
          <w:szCs w:val="22"/>
        </w:rPr>
        <w:t xml:space="preserve">A naming recommendation — validate “RunOil”, refine it, or propose alternatives.</w:t>
      </w:r>
    </w:p>
    <w:p>
      <w:pPr>
        <w:pStyle w:val="ListParagraph"/>
        <w:numPr>
          <w:ilvl w:val="0"/>
          <w:numId w:val="5"/>
        </w:numPr>
        <w:spacing w:after="80" w:line="270"/>
      </w:pPr>
      <w:r>
        <w:rPr>
          <w:sz w:val="22"/>
          <w:szCs w:val="22"/>
        </w:rPr>
        <w:t xml:space="preserve">Logo and identity system (wordmark, any supporting mark, clear-space and usage rules).</w:t>
      </w:r>
    </w:p>
    <w:p>
      <w:pPr>
        <w:pStyle w:val="ListParagraph"/>
        <w:numPr>
          <w:ilvl w:val="0"/>
          <w:numId w:val="5"/>
        </w:numPr>
        <w:spacing w:after="80" w:line="270"/>
      </w:pPr>
      <w:r>
        <w:rPr>
          <w:sz w:val="22"/>
          <w:szCs w:val="22"/>
        </w:rPr>
        <w:t xml:space="preserve">Color palette and typography.</w:t>
      </w:r>
    </w:p>
    <w:p>
      <w:pPr>
        <w:pStyle w:val="ListParagraph"/>
        <w:numPr>
          <w:ilvl w:val="0"/>
          <w:numId w:val="5"/>
        </w:numPr>
        <w:spacing w:after="80" w:line="270"/>
      </w:pPr>
      <w:r>
        <w:rPr>
          <w:sz w:val="22"/>
          <w:szCs w:val="22"/>
        </w:rPr>
        <w:t xml:space="preserve">Visual language — imagery, illustration or iconography direction, and layout principles.</w:t>
      </w:r>
    </w:p>
    <w:p>
      <w:pPr>
        <w:pStyle w:val="ListParagraph"/>
        <w:numPr>
          <w:ilvl w:val="0"/>
          <w:numId w:val="5"/>
        </w:numPr>
        <w:spacing w:after="80" w:line="270"/>
      </w:pPr>
      <w:r>
        <w:rPr>
          <w:sz w:val="22"/>
          <w:szCs w:val="22"/>
        </w:rPr>
        <w:t xml:space="preserve">Voice &amp; tone guidelines with worked examples.</w:t>
      </w:r>
    </w:p>
    <w:p>
      <w:pPr>
        <w:pStyle w:val="ListParagraph"/>
        <w:numPr>
          <w:ilvl w:val="0"/>
          <w:numId w:val="5"/>
        </w:numPr>
        <w:spacing w:after="80" w:line="270"/>
      </w:pPr>
      <w:r>
        <w:rPr>
          <w:sz w:val="22"/>
          <w:szCs w:val="22"/>
        </w:rPr>
        <w:t xml:space="preserve">A primary tagline, alternates, and a messaging framework.</w:t>
      </w:r>
    </w:p>
    <w:p>
      <w:pPr>
        <w:pStyle w:val="ListParagraph"/>
        <w:numPr>
          <w:ilvl w:val="0"/>
          <w:numId w:val="5"/>
        </w:numPr>
        <w:spacing w:after="80" w:line="270"/>
      </w:pPr>
      <w:r>
        <w:rPr>
          <w:sz w:val="22"/>
          <w:szCs w:val="22"/>
        </w:rPr>
        <w:t xml:space="preserve">Application examples — website hero, a sample of product (web app) UI, a sales/pitch deck, and partner-facing materials.</w:t>
      </w:r>
    </w:p>
    <w:p>
      <w:pPr>
        <w:pStyle w:val="ListParagraph"/>
        <w:numPr>
          <w:ilvl w:val="0"/>
          <w:numId w:val="5"/>
        </w:numPr>
        <w:spacing w:after="80" w:line="270"/>
      </w:pPr>
      <w:r>
        <w:rPr>
          <w:sz w:val="22"/>
          <w:szCs w:val="22"/>
        </w:rPr>
        <w:t xml:space="preserve">A delivered brand book consolidating all of the above.</w:t>
      </w:r>
    </w:p>
    <w:p>
      <w:pPr>
        <w:pStyle w:val="ListParagraph"/>
        <w:numPr>
          <w:ilvl w:val="0"/>
          <w:numId w:val="5"/>
        </w:numPr>
        <w:spacing w:after="80" w:line="270"/>
      </w:pPr>
      <w:r>
        <w:rPr>
          <w:sz w:val="22"/>
          <w:szCs w:val="22"/>
        </w:rPr>
        <w:t xml:space="preserve">Proposed timeline, milestones, and cost.</w:t>
      </w:r>
    </w:p>
    <w:p>
      <w:pPr>
        <w:pStyle w:val="Heading1"/>
        <w:pBdr>
          <w:bottom w:val="single" w:color="334155" w:sz="6" w:space="4"/>
        </w:pBdr>
        <w:spacing w:after="140" w:before="320"/>
      </w:pPr>
      <w:r>
        <w:t xml:space="preserve">Practical details</w:t>
      </w:r>
    </w:p>
    <w:p>
      <w:pPr>
        <w:pStyle w:val="ListParagraph"/>
        <w:numPr>
          <w:ilvl w:val="0"/>
          <w:numId w:val="4"/>
        </w:numPr>
        <w:spacing w:after="80" w:line="270"/>
      </w:pPr>
      <w:r>
        <w:rPr>
          <w:sz w:val="22"/>
          <w:szCs w:val="22"/>
        </w:rPr>
        <w:t xml:space="preserve">Primary brand applications at launch: marketing website, product (web app) UI, sales and partner decks.</w:t>
      </w:r>
    </w:p>
    <w:p>
      <w:pPr>
        <w:pStyle w:val="ListParagraph"/>
        <w:numPr>
          <w:ilvl w:val="0"/>
          <w:numId w:val="4"/>
        </w:numPr>
        <w:spacing w:after="80" w:line="270"/>
      </w:pPr>
      <w:r>
        <w:rPr>
          <w:sz w:val="22"/>
          <w:szCs w:val="22"/>
        </w:rPr>
        <w:t xml:space="preserve">Timeline: </w:t>
      </w:r>
      <w:r>
        <w:rPr>
          <w:i/>
          <w:iCs/>
          <w:color w:val="64748B"/>
          <w:sz w:val="22"/>
          <w:szCs w:val="22"/>
        </w:rPr>
        <w:t xml:space="preserve">[to be provided]</w:t>
      </w:r>
    </w:p>
    <w:p>
      <w:pPr>
        <w:pStyle w:val="ListParagraph"/>
        <w:numPr>
          <w:ilvl w:val="0"/>
          <w:numId w:val="4"/>
        </w:numPr>
        <w:spacing w:after="80" w:line="270"/>
      </w:pPr>
      <w:r>
        <w:rPr>
          <w:sz w:val="22"/>
          <w:szCs w:val="22"/>
        </w:rPr>
        <w:t xml:space="preserve">Budget range: </w:t>
      </w:r>
      <w:r>
        <w:rPr>
          <w:i/>
          <w:iCs/>
          <w:color w:val="64748B"/>
          <w:sz w:val="22"/>
          <w:szCs w:val="22"/>
        </w:rPr>
        <w:t xml:space="preserve">[to be provided]</w:t>
      </w:r>
    </w:p>
    <w:p>
      <w:pPr>
        <w:pStyle w:val="ListParagraph"/>
        <w:numPr>
          <w:ilvl w:val="0"/>
          <w:numId w:val="4"/>
        </w:numPr>
        <w:spacing w:after="80" w:line="270"/>
      </w:pPr>
      <w:r>
        <w:rPr>
          <w:sz w:val="22"/>
          <w:szCs w:val="22"/>
        </w:rPr>
        <w:t xml:space="preserve">Decision-maker / contact: </w:t>
      </w:r>
      <w:r>
        <w:rPr>
          <w:i/>
          <w:iCs/>
          <w:color w:val="64748B"/>
          <w:sz w:val="22"/>
          <w:szCs w:val="22"/>
        </w:rPr>
        <w:t xml:space="preserve">[to be provided]</w:t>
      </w:r>
    </w:p>
    <w:p>
      <w:pPr>
        <w:pStyle w:val="ListParagraph"/>
        <w:numPr>
          <w:ilvl w:val="0"/>
          <w:numId w:val="4"/>
        </w:numPr>
        <w:spacing w:after="80" w:line="270"/>
      </w:pPr>
      <w:r>
        <w:rPr>
          <w:sz w:val="22"/>
          <w:szCs w:val="22"/>
        </w:rPr>
        <w:t xml:space="preserve">How to respond and deadline: </w:t>
      </w:r>
      <w:r>
        <w:rPr>
          <w:i/>
          <w:iCs/>
          <w:color w:val="64748B"/>
          <w:sz w:val="22"/>
          <w:szCs w:val="22"/>
        </w:rPr>
        <w:t xml:space="preserve">[email or portal + date to be provided]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360"/>
      </w:tabs>
    </w:pPr>
    <w:r>
      <w:rPr>
        <w:color w:val="64748B"/>
        <w:sz w:val="16"/>
        <w:szCs w:val="16"/>
      </w:rPr>
      <w:t xml:space="preserve">Confidential — RunOil Brand &amp; Messaging Brief</w:t>
    </w:r>
    <w:r>
      <w:rPr>
        <w:sz w:val="16"/>
        <w:szCs w:val="16"/>
      </w:rPr>
      <w:t xml:space="preserve">	</w:t>
    </w:r>
    <w:r>
      <w:rPr>
        <w:color w:val="64748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334155"/>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2026-06-05T17:36:37.251Z</dcterms:created>
  <dcterms:modified xsi:type="dcterms:W3CDTF">2026-06-05T17:36:37.252Z</dcterms:modified>
</cp:coreProperties>
</file>

<file path=docProps/custom.xml><?xml version="1.0" encoding="utf-8"?>
<Properties xmlns="http://schemas.openxmlformats.org/officeDocument/2006/custom-properties" xmlns:vt="http://schemas.openxmlformats.org/officeDocument/2006/docPropsVTypes"/>
</file>