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Times New Roman" w:hAnsi="Times New Roman" w:eastAsia="宋体" w:cs="Times New Roman"/>
          <w:b/>
          <w:color w:val="1F4E79"/>
          <w:sz w:val="52"/>
        </w:rPr>
        <w:t>大学生考研 AI 导学系统</w:t>
      </w:r>
    </w:p>
    <w:p>
      <w:pPr>
        <w:spacing w:before="240"/>
        <w:jc w:val="center"/>
      </w:pPr>
      <w:r>
        <w:rPr>
          <w:rFonts w:ascii="Times New Roman" w:hAnsi="Times New Roman" w:eastAsia="宋体" w:cs="Times New Roman"/>
          <w:b/>
          <w:color w:val="222222"/>
          <w:sz w:val="38"/>
        </w:rPr>
        <w:t>项目开发规范</w:t>
      </w:r>
    </w:p>
    <w:p>
      <w:pPr>
        <w:spacing w:before="160"/>
        <w:jc w:val="center"/>
      </w:pPr>
      <w:r>
        <w:rPr>
          <w:rFonts w:ascii="Times New Roman" w:hAnsi="Times New Roman" w:eastAsia="宋体" w:cs="Times New Roman"/>
          <w:i/>
          <w:color w:val="666666"/>
          <w:sz w:val="23"/>
        </w:rPr>
        <w:t>Project Development Specification</w:t>
      </w:r>
    </w:p>
    <w:p>
      <w:pPr>
        <w:spacing w:before="240"/>
        <w:jc w:val="center"/>
      </w:pPr>
      <w:r>
        <w:rPr>
          <w:rFonts w:ascii="Times New Roman" w:hAnsi="Times New Roman" w:eastAsia="宋体" w:cs="Times New Roman"/>
          <w:color w:val="666666"/>
          <w:sz w:val="23"/>
        </w:rPr>
        <w:t>Version 1.0</w:t>
      </w:r>
    </w:p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20"/>
              </w:rPr>
              <w:t>项目项</w:t>
            </w:r>
          </w:p>
        </w:tc>
        <w:tc>
          <w:tcPr>
            <w:tcW w:type="dxa" w:w="6520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20"/>
              </w:rPr>
              <w:t>约定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项目定位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面向考研学生的 AI 陪伴式导学平台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仓库模式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Monorepo：frontend / backend / docs / deploy / scripts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前端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Vue 3 + TypeScript + Vite + Element Plus + Pinia + ECharts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后端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Python 3.12 + FastAPI + Pydantic + SQLAlchemy 2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数据与存储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PostgreSQL + pgvector + Redis + MinIO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AI 核心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LLM API + Embedding + 多模态模型 + RAG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质量工具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ESLint + Prettier；Ruff + Black；pytest</w:t>
            </w:r>
          </w:p>
        </w:tc>
      </w:tr>
      <w:tr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部署</w:t>
            </w:r>
          </w:p>
        </w:tc>
        <w:tc>
          <w:tcPr>
            <w:tcW w:type="dxa" w:w="652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Docker + Docker Compose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  <w:insideH w:val="single" w:sz="3" w:space="0" w:color="B7C9D6"/>
              <w:insideV w:val="single" w:sz="3" w:space="0" w:color="B7C9D6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9"/>
              </w:rPr>
              <w:t>适用范围：</w:t>
            </w:r>
            <w:r>
              <w:rPr>
                <w:rFonts w:ascii="Times New Roman" w:hAnsi="Times New Roman" w:eastAsia="宋体" w:cs="Times New Roman"/>
                <w:color w:val="222222"/>
                <w:sz w:val="19"/>
              </w:rPr>
              <w:t>本规范在既定技术方案基础上形成，作为项目组统一开发、代码评审、联调、测试、部署和交付的执行依据。规则分为【强制】【推荐】【参考】三级。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 w:cs="Times New Roman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文档说明</w:t>
      </w:r>
    </w:p>
    <w:p>
      <w:pPr>
        <w:spacing w:before="0" w:after="100" w:line="324" w:lineRule="auto"/>
        <w:ind w:firstLine="420"/>
        <w:jc w:val="both"/>
      </w:pPr>
      <w:r>
        <w:rPr>
          <w:rFonts w:ascii="Times New Roman" w:hAnsi="Times New Roman" w:eastAsia="宋体" w:cs="Times New Roman"/>
          <w:color w:val="222222"/>
          <w:sz w:val="21"/>
        </w:rPr>
        <w:t>本规范面向“大学生考研 AI 导学系统”课程设计项目，覆盖前端、后端、数据库、AI/RAG、接口、Git 协作、安全、测试、部署和文档交付。规范以已确定的模块化单体架构和技术栈为基础，所有成员在进入开发前应完成阅读，并在代码评审和阶段验收中据此检查。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等级</w:t>
            </w:r>
          </w:p>
        </w:tc>
        <w:tc>
          <w:tcPr>
            <w:tcW w:type="dxa" w:w="3969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含义</w:t>
            </w:r>
          </w:p>
        </w:tc>
        <w:tc>
          <w:tcPr>
            <w:tcW w:type="dxa" w:w="3402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执行要求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强制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影响正确性、安全性、可维护性或协作一致性的规则</w:t>
            </w:r>
          </w:p>
        </w:tc>
        <w:tc>
          <w:tcPr>
            <w:tcW w:type="dxa" w:w="340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违反后必须修改，未修改不得合并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推荐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能显著提升可读性、稳定性和开发效率的规则</w:t>
            </w:r>
          </w:p>
        </w:tc>
        <w:tc>
          <w:tcPr>
            <w:tcW w:type="dxa" w:w="340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原则上遵守，确需偏离时说明原因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参考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可按实际场景采用的经验性规则</w:t>
            </w:r>
          </w:p>
        </w:tc>
        <w:tc>
          <w:tcPr>
            <w:tcW w:type="dxa" w:w="340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由模块负责人决定是否采用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目录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1. 总则与技术基线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2. Monorepo 工程结构与命名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3. Git 协作与版本管理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4. 前端开发规范（Vue3 + TypeScript）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5. 后端开发规范（Python + FastAPI）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6. API 与 SSE 接口规范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7. PostgreSQL / pgvector 数据规范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8. AI、Prompt 与 RAG 开发规范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9. 学习规划、掌握度与院校推荐规则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10. Redis 与 MinIO 使用规范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11. 安全与隐私规范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12. 异常、日志与可观测性规范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13. 测试与质量门禁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14. Docker、配置与部署规范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15. 文档与交付规范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16. 代码评审与阶段验收清单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附录 A 常用命令</w:t>
      </w:r>
    </w:p>
    <w:p>
      <w:pPr>
        <w:spacing w:after="40"/>
        <w:ind w:left="340"/>
      </w:pPr>
      <w:r>
        <w:rPr>
          <w:rFonts w:ascii="Times New Roman" w:hAnsi="Times New Roman" w:eastAsia="宋体" w:cs="Times New Roman"/>
          <w:color w:val="222222"/>
          <w:sz w:val="20"/>
        </w:rPr>
        <w:t>附录 B 命名与接口示例</w:t>
      </w:r>
    </w:p>
    <w:p>
      <w:r>
        <w:rPr>
          <w:rFonts w:ascii="Times New Roman" w:hAnsi="Times New Roman" w:eastAsia="宋体" w:cs="Times New Roman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1. 总则与技术基线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1.1 规范目标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项目所有正式代码、数据库脚本、Prompt 模板、Docker 配置和接口定义均纳入版本控制。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项目以 P0 功能完整可演示为第一目标。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P0 范围</w:t>
            </w:r>
          </w:p>
        </w:tc>
        <w:tc>
          <w:tcPr>
            <w:tcW w:type="dxa" w:w="6236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身份与个性化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账号与权限、备考画像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AI 与知识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智能问答、RAG 知识库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学习与训练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学习计划、题库、错题本、模考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分析与决策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学习数据分析、院校推荐、后台管理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P1 功能在 P0 稳定后开发；P2 功能仅在不影响核心闭环和交付进度时追加。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系统采用模块化单体架构，核心业务统一运行于 FastAPI 项目，AI 能力通过独立 Service/AI 层封装。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1.2 技术基线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类别</w:t>
            </w:r>
          </w:p>
        </w:tc>
        <w:tc>
          <w:tcPr>
            <w:tcW w:type="dxa" w:w="3118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统一选型</w:t>
            </w:r>
          </w:p>
        </w:tc>
        <w:tc>
          <w:tcPr>
            <w:tcW w:type="dxa" w:w="4365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规范要求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前端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Vue 3 + TypeScript + Vite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禁止新增第二套前端框架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UI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Element Plus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公共交互组件优先复用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状态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Pinia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仅跨页面/跨组件状态进入 Store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图表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ECharts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图表数据由后端或计算层提供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后端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Python 3.12 + FastAPI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API、业务、AI 编排统一后端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校验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Pydantic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外部输入与结构化 AI 输出均校验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ORM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SQLAlchemy 2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业务代码不得直接拼接 SQL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数据库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PostgreSQL + pgvector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业务数据与知识向量统一管理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缓存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Redis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会话、限流、热点数据等短期状态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对象存储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MinIO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文档、图片、报告等二进制文件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AI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可替换 LLM / Embedding / Vision API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通过统一客户端调用</w:t>
            </w:r>
          </w:p>
        </w:tc>
      </w:tr>
      <w:tr>
        <w:tc>
          <w:tcPr>
            <w:tcW w:type="dxa" w:w="14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部署</w:t>
            </w:r>
          </w:p>
        </w:tc>
        <w:tc>
          <w:tcPr>
            <w:tcW w:type="dxa" w:w="311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Docker Compose</w:t>
            </w:r>
          </w:p>
        </w:tc>
        <w:tc>
          <w:tcPr>
            <w:tcW w:type="dxa" w:w="43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保证新环境可一键启动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2. Monorepo 工程结构与命名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2.1 仓库目录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项目采用单仓库管理，顶层目录固定为 frontend、backend、docs、deploy、scripts；新增一级目录需经项目负责人确认。</w:t>
      </w:r>
    </w:p>
    <w:p>
      <w:pPr>
        <w:spacing w:after="60"/>
      </w:pPr>
      <w:r>
        <w:rPr>
          <w:rFonts w:ascii="Times New Roman" w:hAnsi="Times New Roman" w:eastAsia="宋体" w:cs="Times New Roman"/>
          <w:b/>
          <w:color w:val="666666"/>
          <w:sz w:val="19"/>
        </w:rPr>
        <w:t>推荐目录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kaoyan-ai/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frontend/              # Vue3 用户端与管理端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backend/               # FastAPI 业务与 AI 服务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docs/                  # 需求、接口、设计、测试、部署文档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deploy/                # Docker / Nginx / Compose 配置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scripts/               # 初始化、导入、维护脚本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.env.example           # 环境变量示例，不含真实密钥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docker-compose.yml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└── README.md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2.2 模块边界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前端不得直接访问 PostgreSQL、Redis、MinIO 或模型供应商 API；所有业务访问通过后端接口。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FastAPI 路由层只负责请求接收、鉴权、参数校验和响应封装，复杂业务必须下沉到 Service 层。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Repository 层封装持久化访问；Service 层不得散落重复 SQL 或数据库连接代码。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AI、RAG、Embedding、Prompt 等能力放入 backend/app/ai 或独立 AI Service 子模块，避免与普通业务代码混写。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2.3 文件与标识符命名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57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对象</w:t>
            </w:r>
          </w:p>
        </w:tc>
        <w:tc>
          <w:tcPr>
            <w:tcW w:type="dxa" w:w="2381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规范</w:t>
            </w:r>
          </w:p>
        </w:tc>
        <w:tc>
          <w:tcPr>
            <w:tcW w:type="dxa" w:w="3969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示例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Vue 组件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PascalCase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StudyPlanCard.vue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TS 变量/函数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camelCase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fetchStudyPlan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TS 常量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UPPER_SNAKE_CASE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DEFAULT_PAGE_SIZE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Python 文件/模块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snake_case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study_plan_service.py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Python 变量/函数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snake_case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get_learning_profile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Python 类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PascalCase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LearningProfileService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Python 常量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UPPER_SNAKE_CASE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MAX_UPLOAD_SIZE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数据库表/字段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lower_snake_case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study_task / created_at</w:t>
            </w:r>
          </w:p>
        </w:tc>
      </w:tr>
      <w:tr>
        <w:tc>
          <w:tcPr>
            <w:tcW w:type="dxa" w:w="175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API 路径</w:t>
            </w:r>
          </w:p>
        </w:tc>
        <w:tc>
          <w:tcPr>
            <w:tcW w:type="dxa" w:w="238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小写复数名词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/api/v1/users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命名必须表达业务语义，禁止 a、tmp、data1、test2 等无语义命名进入正式业务代码。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缩写仅使用团队统一且无歧义的术语，例如 API、JWT、LLM、RAG、SSE、DTO；自定义缩写须在文档中说明。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3. Git 协作与版本管理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3.1 分支规范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71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分支</w:t>
            </w:r>
          </w:p>
        </w:tc>
        <w:tc>
          <w:tcPr>
            <w:tcW w:type="dxa" w:w="2268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用途</w:t>
            </w:r>
          </w:p>
        </w:tc>
        <w:tc>
          <w:tcPr>
            <w:tcW w:type="dxa" w:w="3969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规则</w:t>
            </w:r>
          </w:p>
        </w:tc>
      </w:tr>
      <w:tr>
        <w:tc>
          <w:tcPr>
            <w:tcW w:type="dxa" w:w="187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main</w:t>
            </w:r>
          </w:p>
        </w:tc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最终可交付版本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仅接受已验证合并</w:t>
            </w:r>
          </w:p>
        </w:tc>
      </w:tr>
      <w:tr>
        <w:tc>
          <w:tcPr>
            <w:tcW w:type="dxa" w:w="187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dev</w:t>
            </w:r>
          </w:p>
        </w:tc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日常集成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功能分支合并入口</w:t>
            </w:r>
          </w:p>
        </w:tc>
      </w:tr>
      <w:tr>
        <w:tc>
          <w:tcPr>
            <w:tcW w:type="dxa" w:w="187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feature/&lt;name&gt;</w:t>
            </w:r>
          </w:p>
        </w:tc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新功能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如 feature/rag-citation</w:t>
            </w:r>
          </w:p>
        </w:tc>
      </w:tr>
      <w:tr>
        <w:tc>
          <w:tcPr>
            <w:tcW w:type="dxa" w:w="187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fix/&lt;name&gt;</w:t>
            </w:r>
          </w:p>
        </w:tc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缺陷修复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如 fix/exam-timeout</w:t>
            </w:r>
          </w:p>
        </w:tc>
      </w:tr>
      <w:tr>
        <w:tc>
          <w:tcPr>
            <w:tcW w:type="dxa" w:w="187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chore/&lt;name&gt;</w:t>
            </w:r>
          </w:p>
        </w:tc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配置/工程维护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如 chore/docker-env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禁止直接在 main 上开发或强制推送。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一个分支只处理一个明确主题；不同功能不得混在同一提交中。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3.2 提交信息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提交信息采用 type(scope): summary 结构，summary 使用简短动词描述。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247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type</w:t>
            </w:r>
          </w:p>
        </w:tc>
        <w:tc>
          <w:tcPr>
            <w:tcW w:type="dxa" w:w="2324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用途</w:t>
            </w:r>
          </w:p>
        </w:tc>
        <w:tc>
          <w:tcPr>
            <w:tcW w:type="dxa" w:w="4535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示例</w:t>
            </w:r>
          </w:p>
        </w:tc>
      </w:tr>
      <w:tr>
        <w:tc>
          <w:tcPr>
            <w:tcW w:type="dxa" w:w="124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feat</w:t>
            </w:r>
          </w:p>
        </w:tc>
        <w:tc>
          <w:tcPr>
            <w:tcW w:type="dxa" w:w="2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新增功能</w:t>
            </w:r>
          </w:p>
        </w:tc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feat(ai): add rag citation</w:t>
            </w:r>
          </w:p>
        </w:tc>
      </w:tr>
      <w:tr>
        <w:tc>
          <w:tcPr>
            <w:tcW w:type="dxa" w:w="124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fix</w:t>
            </w:r>
          </w:p>
        </w:tc>
        <w:tc>
          <w:tcPr>
            <w:tcW w:type="dxa" w:w="2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修复缺陷</w:t>
            </w:r>
          </w:p>
        </w:tc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fix(exam): prevent duplicate submit</w:t>
            </w:r>
          </w:p>
        </w:tc>
      </w:tr>
      <w:tr>
        <w:tc>
          <w:tcPr>
            <w:tcW w:type="dxa" w:w="124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refactor</w:t>
            </w:r>
          </w:p>
        </w:tc>
        <w:tc>
          <w:tcPr>
            <w:tcW w:type="dxa" w:w="2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重构</w:t>
            </w:r>
          </w:p>
        </w:tc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refactor(study): split plan service</w:t>
            </w:r>
          </w:p>
        </w:tc>
      </w:tr>
      <w:tr>
        <w:tc>
          <w:tcPr>
            <w:tcW w:type="dxa" w:w="124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docs</w:t>
            </w:r>
          </w:p>
        </w:tc>
        <w:tc>
          <w:tcPr>
            <w:tcW w:type="dxa" w:w="2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文档</w:t>
            </w:r>
          </w:p>
        </w:tc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docs(api): update auth endpoints</w:t>
            </w:r>
          </w:p>
        </w:tc>
      </w:tr>
      <w:tr>
        <w:tc>
          <w:tcPr>
            <w:tcW w:type="dxa" w:w="124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test</w:t>
            </w:r>
          </w:p>
        </w:tc>
        <w:tc>
          <w:tcPr>
            <w:tcW w:type="dxa" w:w="2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测试</w:t>
            </w:r>
          </w:p>
        </w:tc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test(rag): add retrieval cases</w:t>
            </w:r>
          </w:p>
        </w:tc>
      </w:tr>
      <w:tr>
        <w:tc>
          <w:tcPr>
            <w:tcW w:type="dxa" w:w="124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chore</w:t>
            </w:r>
          </w:p>
        </w:tc>
        <w:tc>
          <w:tcPr>
            <w:tcW w:type="dxa" w:w="2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构建/配置</w:t>
            </w:r>
          </w:p>
        </w:tc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chore(docker): add minio healthcheck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3.3 合并与评审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合并前必须通过对应 Lint/Format/Test 检查；存在未处理错误不得合并。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涉及数据库结构、公共接口、Prompt 结构或 Docker 配置的修改，必须在 PR 描述中说明影响范围和验证方法。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PR 控制在可独立评审的规模；一次提交尽量不同时修改前端、后端、数据库与部署四个层面。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4. 前端开发规范（Vue3 + TypeScript）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4.1 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frontend/src/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api/            # 后端接口封装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components/     # 可复用组件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views/          # 路由页面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stores/         # Pinia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router/         # 路由与权限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composables/    # 组合式逻辑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types/          # TypeScript 类型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utils/          # 通用工具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└── assets/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4.2 ESLint 与 Prettier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前端统一使用 ESLint + Prettier；禁止成员通过手工格式风格覆盖统一配置。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提交前运行 lint 与 format 检查；CI 或本地门禁出现 error 时不得合并。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编辑器开启 format on save，保存时自动格式化。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4.3 TypeScript 约束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业务代码禁止使用无约束 any；确需兼容第三方返回时优先使用 unknown 并在使用前进行类型收窄。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接口返回类型、核心状态对象、表单对象均定义显式类型。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请求/响应类型放入 types 或 api 同目录，避免多个页面重复声明同一结构。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枚举值较少且稳定时使用联合字面量或 enum，禁止散落魔法字符串。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4.4 Vue 组件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统一使用 Composition API 与 &lt;script setup lang="ts"&gt;。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组件 props 和 emits 显式声明类型。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页面组件负责组织业务流程，可复用的展示与交互单元抽成 components。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单文件组件超过约 300 行时检查是否需要拆分；拆分依据以业务职责为准。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4.5 Pinia、路由与接口调用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仅登录态、用户画像、全局权限、跨页面学习状态等共享数据进入 Pinia；页面局部状态留在组件内部。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所有 HTTP 请求统一封装于 api 层，不允许在页面中散落 fetch/axios URL。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管理端路由、个人信息页、模考结果页等受限页面必须配置权限守卫。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4.6 AI 对话与 SSE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AI 对话必须支持流式输出状态、停止生成、失败重试和会话历史显示。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SSE 断开、超时、模型异常时必须向用户展示可理解的错误提示，不得无限 loading。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前端按事件类型处理 token、citation、done、error，避免仅依赖文本拼接。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4.7 表格与图表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ECharts 的数据字段命名与后端统计接口保持一致；不得在多个页面复制复杂统计算法。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院校对比限制 2–4 所，学习数据看板提供日/周/月范围切换。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空数据、加载中、错误状态必须有明确反馈。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5. 后端开发规范（Python + FastAPI）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5.1 目录与职责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backend/app/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api/             # 路由层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models/          # SQLAlchemy ORM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schemas/         # Pydantic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services/        # 业务服务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repositories/    # 数据访问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core/            # 配置、鉴权、异常、日志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ai/              # LLM、RAG、Prompt、Embedding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tasks/           # 定时/后台任务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├── utils/           # 通用工具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└── main.py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5.2 Ruff、Black 与类型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Python 代码统一使用 Ruff 做静态检查、Black 做格式化；团队不得自行设置冲突格式。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公共函数、Service 方法、Repository 方法应提供参数与返回类型标注。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核心模块引入 mypy 或 Pyright 做静态类型检查；至少保证 schemas、services、ai 层类型清晰。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函数单一职责；超过约 50 行时优先检查是否可拆分。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5.3 FastAPI 路由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Router 仅处理参数、依赖注入、鉴权、调用 Service 和响应封装，不承载复杂业务计算。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所有外部输入使用 Pydantic 校验；禁止直接信任 query、body、header、文件名或模型返回。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统一通过依赖注入获取数据库 Session、当前用户和权限信息。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5.4 Service 与 Repository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跨表业务规则、学习计划调整、推荐评分、错题归档、AI 编排放在 Service 层。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Repository 只负责持久化查询和写入，不直接返回 HTTP 响应。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通用查询封装为可复用 Repository 方法，避免 Service 内重复条件拼装。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5.5 异步与外部调用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模型 API、MinIO、Redis 等 I/O 调用使用异步客户端时，调用链保持 async；禁止在异步路由中执行长时间阻塞操作。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文档解析、批量向量化、报表生成等长任务放入后台任务或独立任务流程，避免阻塞请求。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6. API 与 SSE 接口规范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6.1 RESTful 约定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所有业务接口统一以 /api/v1 为前缀。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资源路径使用复数名词；GET 查询，POST 新建，PUT/PATCH 更新，DELETE 删除。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665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场景</w:t>
            </w:r>
          </w:p>
        </w:tc>
        <w:tc>
          <w:tcPr>
            <w:tcW w:type="dxa" w:w="5953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接口示例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登录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POST /api/v1/auth/login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当前用户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GET /api/v1/users/me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更新画像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PUT /api/v1/users/me/profile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院校列表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GET /api/v1/schools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创建学习任务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POST /api/v1/study/tasks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错题列表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GET /api/v1/wrong-questions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AI 会话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POST /api/v1/ai/conversations</w:t>
            </w:r>
          </w:p>
        </w:tc>
      </w:tr>
      <w:tr>
        <w:tc>
          <w:tcPr>
            <w:tcW w:type="dxa" w:w="266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AI 流式回复</w:t>
            </w:r>
          </w:p>
        </w:tc>
        <w:tc>
          <w:tcPr>
            <w:tcW w:type="dxa" w:w="59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GET/POST /api/v1/ai/chat/stream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6.2 统一响应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普通成功响应使用统一数据结构；分页响应必须包含 total。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{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"code": 0,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"message": "ok",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"data": { ... }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错误响应至少包含 code、message、detail；detail 仅提供必要诊断信息，不返回堆栈、SQL 或密钥。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{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"code": "STUDY_PLAN_NOT_FOUND",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"message": "学习计划不存在",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"detail": null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6.3 分页、时间与标识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分页参数统一为 page、page_size，page 从 1 开始；后端设置合理最大 page_size。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接口时间统一使用 ISO 8601；数据库保存统一时区约定，前端负责展示本地时间。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跨表传递统一使用稳定 ID，不使用展示名称作为关联键。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6.4 SSE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流式 AI 接口区分内容、引用、结束和错误事件。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event: token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data: {"text":"..."}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event: citation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data: {"document_id":"...","page_no":12}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event: done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data: {}</w:t>
            </w:r>
          </w:p>
        </w:tc>
      </w:tr>
    </w:tbl>
    <w:p>
      <w:pPr>
        <w:spacing w:after="2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SSE 完成后保存最终消息、引用文档与必要统计；客户端中断时后端应正常释放资源。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6.5 OpenAPI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Swagger/OpenAPI 作为前后端联调基准；接口参数、示例、返回模型发生变化时同步更新。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7. PostgreSQL / pgvector 数据规范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7.1 表与字段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表名与字段使用 lower_snake_case；项目核心表沿用技术方案中的 user、school、study_plan、question、exam、ai_conversation、knowledge_document 等命名。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业务表统一包含主键、created_at、updated_at；需要恢复的业务数据再增加软删除字段。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院校历年分数线、招生人数等按 year 保存，禁止覆盖历史年度记录。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错题与模考保留原始作答记录，避免只保存聚合结果。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7.2 索引与约束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高频过滤字段建立索引，例如 user_id、subject_id、knowledge_point_id、year。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业务唯一性同时依赖数据库唯一约束，禁止仅在应用层“先查后插”。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通过 EXPLAIN 检查复杂列表与统计查询；避免无条件全表扫描。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7.3 SQLAlchemy 与迁移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业务代码通过 SQLAlchemy 访问数据库；禁止在 Controller/Router 中拼接 SQL。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数据库结构变化使用 Alembic 或统一迁移脚本管理，迁移脚本与业务代码同提交。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数据库初始化脚本必须能在空数据库完成建表与必要基础数据导入。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7.4 pgvector 知识向量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knowledge_chunk 至少保存 document_id、chunk_id、subject、source、year、page_no、content、embedding、updated_at。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向量维度必须与当前 Embedding 模型一致；更换模型时必须说明维度与重建策略。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向量检索与 subject、year、school 等元数据过滤组合使用，减少无关召回。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8. AI、Prompt 与 RAG 开发规范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8.1 模型访问层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所有 LLM、Vision、Embedding 调用统一经过 LLMClient/ModelClient 适配层，业务代码不得直接写供应商 URL 和鉴权逻辑。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class LLMClient: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  async def chat(self, messages, **kwargs): ...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  async def vision(self, image, prompt, **kwargs): ...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 xml:space="preserve">    async def embedding(self, texts): ...</w:t>
            </w:r>
          </w:p>
        </w:tc>
      </w:tr>
    </w:tbl>
    <w:p>
      <w:pPr>
        <w:spacing w:after="2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统一处理超时、重试、限流、错误码和调用日志；失败后必须返回可理解的业务错误。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8.2 Prompt 管理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核心 Prompt 模板统一版本化管理，不得散落在路由、页面或多个 Service 中。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Prompt 记录 name、version、scene、template、model_params、updated_at；线上行为变化必须可追踪到版本。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需要入库的 AI 结果优先使用结构化 JSON，经过 Pydantic 校验后再写入数据库。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Prompt 修改需使用固定测试问题集回归，防止新版本破坏已有场景。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8.3 知识库入库</w:t>
      </w:r>
    </w:p>
    <w:p>
      <w:pPr>
        <w:pStyle w:val="ListNumber"/>
        <w:spacing w:after="60" w:line="300" w:lineRule="auto"/>
        <w:ind w:left="482" w:hanging="198"/>
      </w:pPr>
      <w:r>
        <w:rPr>
          <w:rFonts w:ascii="Times New Roman" w:hAnsi="Times New Roman" w:eastAsia="宋体" w:cs="Times New Roman"/>
          <w:color w:val="222222"/>
          <w:sz w:val="20"/>
        </w:rPr>
        <w:t>文件上传至 MinIO，数据库保存文档元数据。</w:t>
      </w:r>
    </w:p>
    <w:p>
      <w:pPr>
        <w:pStyle w:val="ListNumber"/>
        <w:spacing w:after="60" w:line="300" w:lineRule="auto"/>
        <w:ind w:left="482" w:hanging="198"/>
      </w:pPr>
      <w:r>
        <w:rPr>
          <w:rFonts w:ascii="Times New Roman" w:hAnsi="Times New Roman" w:eastAsia="宋体" w:cs="Times New Roman"/>
          <w:color w:val="222222"/>
          <w:sz w:val="20"/>
        </w:rPr>
        <w:t>解析 PDF、Word、TXT、Markdown，清理页眉页脚、重复空白和无效字符。</w:t>
      </w:r>
    </w:p>
    <w:p>
      <w:pPr>
        <w:pStyle w:val="ListNumber"/>
        <w:spacing w:after="60" w:line="300" w:lineRule="auto"/>
        <w:ind w:left="482" w:hanging="198"/>
      </w:pPr>
      <w:r>
        <w:rPr>
          <w:rFonts w:ascii="Times New Roman" w:hAnsi="Times New Roman" w:eastAsia="宋体" w:cs="Times New Roman"/>
          <w:color w:val="222222"/>
          <w:sz w:val="20"/>
        </w:rPr>
        <w:t>优先按标题和段落切片，并控制最大 Token 长度；保留文档和页码关系。</w:t>
      </w:r>
    </w:p>
    <w:p>
      <w:pPr>
        <w:pStyle w:val="ListNumber"/>
        <w:spacing w:after="60" w:line="300" w:lineRule="auto"/>
        <w:ind w:left="482" w:hanging="198"/>
      </w:pPr>
      <w:r>
        <w:rPr>
          <w:rFonts w:ascii="Times New Roman" w:hAnsi="Times New Roman" w:eastAsia="宋体" w:cs="Times New Roman"/>
          <w:color w:val="222222"/>
          <w:sz w:val="20"/>
        </w:rPr>
        <w:t>文本块计算 Embedding，并与元数据写入 PostgreSQL + pgvector。</w:t>
      </w:r>
    </w:p>
    <w:p>
      <w:pPr>
        <w:pStyle w:val="ListNumber"/>
        <w:spacing w:after="60" w:line="300" w:lineRule="auto"/>
        <w:ind w:left="482" w:hanging="198"/>
      </w:pPr>
      <w:r>
        <w:rPr>
          <w:rFonts w:ascii="Times New Roman" w:hAnsi="Times New Roman" w:eastAsia="宋体" w:cs="Times New Roman"/>
          <w:color w:val="222222"/>
          <w:sz w:val="20"/>
        </w:rPr>
        <w:t>处理状态可追踪：uploaded → parsing → embedding → ready / failed。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每个文本块必须可追溯到原文档与页码/章节；无法追溯的向量数据不得进入正式知识库。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8.4 RAG 检索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环节</w:t>
            </w:r>
          </w:p>
        </w:tc>
        <w:tc>
          <w:tcPr>
            <w:tcW w:type="dxa" w:w="6803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规范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切片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标题/段落优先；可保留 10%–20% 重叠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检索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向量检索 + 元数据过滤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Top-K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初始 4–8，使用测试集调整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重排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第一版可省略；质量不足时再增加 rerank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引用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返回文档名、章节/页码或来源标识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低置信度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高相关资料不足时降低结论强度并提示资料不足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涉及院校政策、分数线、招生人数等事实信息时，优先使用结构化数据库或知识库数据，并返回年份与来源。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不得让模型在无资料支撑时生成精确“上岸概率”；输出匹配度、风险等级和解释。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8.5 多模态与文件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图片搜题上传前校验 MIME、扩展名和大小；模型识别结果仍需经过题型判断与知识点流程。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图片搜题回答遵循“题型识别 → 解题思路 → 关键步骤 → 方法总结”的结构。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8.6 AI 调用数据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AI 调用日志只保存排错和统计所需字段；禁止记录明文密码、Token、API Key。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保存模型名称、Prompt 版本、耗时、成功/失败、Token 用量等指标，便于评估成本与稳定性。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9. 学习规划、掌握度与院校推荐规则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9.1 学习计划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计划输入至少包括考试日期、目标分数、当前水平、每日可用时间、薄弱知识点和历史完成率。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计划层级统一为阶段计划、月计划、周计划、每日任务；每日任务包含学科、知识点、预计时长、目标、状态和完成质量。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969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触发条件</w:t>
            </w:r>
          </w:p>
        </w:tc>
        <w:tc>
          <w:tcPr>
            <w:tcW w:type="dxa" w:w="4649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调整规则</w:t>
            </w:r>
          </w:p>
        </w:tc>
      </w:tr>
      <w:tr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连续 3 天完成率低于阈值</w:t>
            </w:r>
          </w:p>
        </w:tc>
        <w:tc>
          <w:tcPr>
            <w:tcW w:type="dxa" w:w="464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降低单日任务量，提高任务颗粒度</w:t>
            </w:r>
          </w:p>
        </w:tc>
      </w:tr>
      <w:tr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某知识点连续高错误率</w:t>
            </w:r>
          </w:p>
        </w:tc>
        <w:tc>
          <w:tcPr>
            <w:tcW w:type="dxa" w:w="464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增加专项练习与复习任务</w:t>
            </w:r>
          </w:p>
        </w:tc>
      </w:tr>
      <w:tr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模考成绩明显提升</w:t>
            </w:r>
          </w:p>
        </w:tc>
        <w:tc>
          <w:tcPr>
            <w:tcW w:type="dxa" w:w="464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适当提高题目难度或进入下一阶段</w:t>
            </w:r>
          </w:p>
        </w:tc>
      </w:tr>
      <w:tr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阶段目标延误</w:t>
            </w:r>
          </w:p>
        </w:tc>
        <w:tc>
          <w:tcPr>
            <w:tcW w:type="dxa" w:w="464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重排剩余任务并标记高优先级内容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9.2 知识掌握度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课程设计阶段使用可解释的加权评分，不引入不必要的复杂机器学习模型。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35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指标</w:t>
            </w:r>
          </w:p>
        </w:tc>
        <w:tc>
          <w:tcPr>
            <w:tcW w:type="dxa" w:w="3969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建议权重</w:t>
            </w:r>
          </w:p>
        </w:tc>
      </w:tr>
      <w:tr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正确率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50%</w:t>
            </w:r>
          </w:p>
        </w:tc>
      </w:tr>
      <w:tr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重复错误惩罚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20%</w:t>
            </w:r>
          </w:p>
        </w:tc>
      </w:tr>
      <w:tr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答题耗时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10%</w:t>
            </w:r>
          </w:p>
        </w:tc>
      </w:tr>
      <w:tr>
        <w:tc>
          <w:tcPr>
            <w:tcW w:type="dxa" w:w="45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近期练习表现</w:t>
            </w:r>
          </w:p>
        </w:tc>
        <w:tc>
          <w:tcPr>
            <w:tcW w:type="dxa" w:w="3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20%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掌握度计算版本和权重集中配置，禁止页面或接口各自实现不同公式。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9.3 院校推荐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院校推荐使用结构化数据计算匹配度，AI 负责解释与风险提示。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S = w1×分数匹配 + w2×专业匹配 + w3×地区匹配 + w4×难度匹配 + w5×招生情况</w:t>
            </w:r>
          </w:p>
        </w:tc>
      </w:tr>
    </w:tbl>
    <w:p>
      <w:pPr>
        <w:spacing w:after="2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推荐结果至少包含匹配度（0–100）、风险等级（低/中/高）、院校类型（冲刺/稳妥/保底）、3–5 条解释和数据年份/来源。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权重通过后台配置，便于不同测试方案对比。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10. Redis 与 MinIO 使用规范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10.1 Redis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Redis 仅保存可重建或短期状态，不作为唯一持久化业务数据源。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适合缓存会话、验证码、热点问答、限流计数、短期 AI 会话上下文。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缓存键统一前缀，例如 kaoyan:auth:、kaoyan:ai:、kaoyan:rate:；设置明确 TTL。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缓存失效不得导致核心业务数据丢失。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10.2 MinIO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PDF、Word、题目图片、报告文件等二进制对象存储在 MinIO，数据库只保存对象键、元数据和业务关联。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文件名由系统生成稳定对象键，不直接使用用户原始文件名作为存储路径。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上传执行类型、大小、扩展名和文件名校验；下载接口执行权限验证。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11. 安全与隐私规范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密码使用安全哈希算法存储，禁止明文或可逆加密存储密码。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JWT 设置有效期和刷新机制；管理端接口执行角色权限校验。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API Key、JWT_SECRET、数据库密码、MinIO Secret 等只能通过环境变量或安全配置注入，不得提交到 Git。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所有外部输入进行 Pydantic 校验和数据库约束校验；查询参数必须使用参数绑定。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日志对 Token、密码、手机号等敏感字段脱敏。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用户只能访问自己的学习记录、错题、模考结果、AI 会话和个人画像。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上传的私人学习资料支持用户删除，并同步删除文档元数据、对象文件和相关向量。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548235"/>
          <w:sz w:val="20"/>
        </w:rPr>
        <w:t>【参考】</w:t>
      </w:r>
      <w:r>
        <w:rPr>
          <w:rFonts w:ascii="Times New Roman" w:hAnsi="Times New Roman" w:eastAsia="宋体" w:cs="Times New Roman"/>
          <w:color w:val="222222"/>
          <w:sz w:val="20"/>
        </w:rPr>
        <w:t>课程演示数据优先使用脱敏或模拟数据，避免在演示环境保存真实敏感信息。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12. 异常、日志与可观测性规范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12.1 异常处理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禁止空 catch/except；捕获异常后必须处理、转换或继续抛出。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业务异常与系统异常区分；业务异常返回稳定错误码，系统异常记录堆栈并向用户返回通用提示。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外部模型、Redis、MinIO、数据库调用均设置超时；不能无限等待。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12.2 日志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日志至少包含时间、级别、模块、请求标识、核心上下文；错误日志保留堆栈。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禁止使用 print 代替正式日志。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AI 调用日志记录 provider/model、scene、prompt_version、latency、success、error_code、token_usage。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关键业务操作记录可审计日志，例如知识文档上传、院校数据维护、Prompt 版本切换。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13. 测试与质量门禁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13.1 测试类型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测试</w:t>
            </w:r>
          </w:p>
        </w:tc>
        <w:tc>
          <w:tcPr>
            <w:tcW w:type="dxa" w:w="6803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覆盖范围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单元测试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推荐算法、掌握度、计划调整、工具函数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接口测试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登录、用户、题库、计划、模考、知识库、AI 接口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RAG 测试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固定问题集验证检索命中和引用正确性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AI 输出测试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结构化输出、超时、异常、空结果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前端测试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关键表单、路由权限、SSE、考试流程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集成测试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计划→刷题→错题→分析→计划调整闭环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13.2 pytest 规范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Python 测试统一使用 pytest；核心计算逻辑必须具备可重复的单元测试。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测试不得依赖执行顺序；数据库测试使用独立测试数据并在测试后清理或回滚。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第三方模型 API 在单元测试中使用 Mock，避免测试结果依赖网络和费用。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13.3 合并门禁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层面</w:t>
            </w:r>
          </w:p>
        </w:tc>
        <w:tc>
          <w:tcPr>
            <w:tcW w:type="dxa" w:w="6803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最低要求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前端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ESLint 无 error；Prettier 检查通过；构建成功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后端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Ruff 无 error；Black 检查通过；pytest 通过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数据库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迁移/初始化脚本可执行；关键约束正确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AI/RAG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固定测试集关键问题无明显退化；引用可追溯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部署</w:t>
            </w:r>
          </w:p>
        </w:tc>
        <w:tc>
          <w:tcPr>
            <w:tcW w:type="dxa" w:w="680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docker compose config 通过；核心服务 healthcheck 正常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  <w:insideH w:val="single" w:sz="3" w:space="0" w:color="B7C9D6"/>
              <w:insideV w:val="single" w:sz="3" w:space="0" w:color="B7C9D6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9"/>
              </w:rPr>
              <w:t>发布门禁：</w:t>
            </w:r>
            <w:r>
              <w:rPr>
                <w:rFonts w:ascii="Times New Roman" w:hAnsi="Times New Roman" w:eastAsia="宋体" w:cs="Times New Roman"/>
                <w:color w:val="222222"/>
                <w:sz w:val="19"/>
              </w:rPr>
              <w:t>核心 P0 功能出现阻断缺陷、未处理 500 错误、数据库脚本无法初始化或 Docker Compose 无法启动时，不得进入最终交付。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14. Docker、配置与部署规范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14.1 服务组成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服务</w:t>
            </w:r>
          </w:p>
        </w:tc>
        <w:tc>
          <w:tcPr>
            <w:tcW w:type="dxa" w:w="6236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职责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frontend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Vue3 静态资源 / Nginx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backend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FastAPI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postgres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PostgreSQL + pgvector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redis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缓存/会话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minio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对象存储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docker-compose.yml 作为统一启动入口；新环境应能完成构建、启动、初始化和健康检查。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生产/演示配置不得写死在镜像中，使用环境变量注入。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14.2 环境变量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DATABASE_URL=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REDIS_URL=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MINIO_ENDPOINT=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MINIO_ACCESS_KEY=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MINIO_SECRET_KEY=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JWT_SECRET=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LLM_API_KEY=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LLM_BASE_URL=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EMBEDDING_MODEL=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APP_ENV=</w:t>
            </w:r>
          </w:p>
        </w:tc>
      </w:tr>
    </w:tbl>
    <w:p>
      <w:pPr>
        <w:spacing w:after="20"/>
      </w:pP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.env.example 只保留变量名和示例格式，禁止真实密钥。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每个服务配置 healthcheck；backend 启动前验证数据库连接与必要配置。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548235"/>
          <w:sz w:val="20"/>
        </w:rPr>
        <w:t>【参考】</w:t>
      </w:r>
      <w:r>
        <w:rPr>
          <w:rFonts w:ascii="Times New Roman" w:hAnsi="Times New Roman" w:eastAsia="宋体" w:cs="Times New Roman"/>
          <w:color w:val="222222"/>
          <w:sz w:val="20"/>
        </w:rPr>
        <w:t>后续接入本地模型时新增 model-service，不修改前端和业务数据库结构。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15. 文档与交付规范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docs 目录至少维护：系统功能分析说明书、系统接口设计、系统详细设计、安装部署文档、系统操作说明、测试说明。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接口变化同步更新 OpenAPI 和接口设计文档；数据库变化同步更新 ER/表说明和初始化脚本。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README 提供最短启动路径：依赖、环境变量、Docker 启动、初始化账号、访问地址。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C00000"/>
          <w:sz w:val="20"/>
        </w:rPr>
        <w:t>【强制】</w:t>
      </w:r>
      <w:r>
        <w:rPr>
          <w:rFonts w:ascii="Times New Roman" w:hAnsi="Times New Roman" w:eastAsia="宋体" w:cs="Times New Roman"/>
          <w:color w:val="222222"/>
          <w:sz w:val="20"/>
        </w:rPr>
        <w:t>最终提交包含源码、数据库初始化脚本、Docker 配置、必要演示数据、文档和版本说明。</w:t>
      </w:r>
    </w:p>
    <w:p>
      <w:pPr>
        <w:spacing w:after="80" w:line="312" w:lineRule="auto"/>
        <w:ind w:left="198" w:hanging="198"/>
      </w:pPr>
      <w:r>
        <w:rPr>
          <w:rFonts w:ascii="Times New Roman" w:hAnsi="Times New Roman" w:eastAsia="宋体" w:cs="Times New Roman"/>
          <w:b/>
          <w:color w:val="1F4E79"/>
          <w:sz w:val="20"/>
        </w:rPr>
        <w:t>【推荐】</w:t>
      </w:r>
      <w:r>
        <w:rPr>
          <w:rFonts w:ascii="Times New Roman" w:hAnsi="Times New Roman" w:eastAsia="宋体" w:cs="Times New Roman"/>
          <w:color w:val="222222"/>
          <w:sz w:val="20"/>
        </w:rPr>
        <w:t>关键 AI 场景文档记录 Prompt 版本、模型名称、知识库来源和测试用例。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15.1 文档命名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文档</w:t>
            </w:r>
          </w:p>
        </w:tc>
        <w:tc>
          <w:tcPr>
            <w:tcW w:type="dxa" w:w="6236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9"/>
              </w:rPr>
              <w:t>建议文件名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功能分析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01_系统功能分析说明书.docx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接口设计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02_系统接口设计文档.docx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详细设计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03_系统详细设计.docx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部署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04_系统安装部署文档.docx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操作说明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05_系统操作说明书.docx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测试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06_系统测试说明.docx</w:t>
            </w:r>
          </w:p>
        </w:tc>
      </w:tr>
      <w:tr>
        <w:tc>
          <w:tcPr>
            <w:tcW w:type="dxa" w:w="226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数据库</w:t>
            </w:r>
          </w:p>
        </w:tc>
        <w:tc>
          <w:tcPr>
            <w:tcW w:type="dxa" w:w="623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07_数据库设计与初始化说明.docx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16. 代码评审与阶段验收清单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16.1 代码评审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命名、目录、模块职责符合规范。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无真实密钥、Token、密码进入代码或日志。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Router/组件未承载过多复杂业务。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接口、Pydantic 类型和数据库模型一致。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异常路径有明确处理。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新增功能包含必要测试。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AI 事实性回答具备来源或降级提示。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涉及数据库/Prompt/API 的变更同步更新文档。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16.2 P0 阶段验收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用户可注册登录并建立完整备考画像。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AI 问答支持流式输出、历史会话和知识库引用。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管理员可上传资料并完成解析、切片、向量化。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系统可生成学习计划并记录每日任务状态。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题库作答可进入错题与知识掌握度统计。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模考可计时、交卷、评分并生成分析。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院校推荐输出匹配度、风险等级、解释、年份和来源。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数据中心展示学习时长、正确率、掌握度与成绩趋势。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管理后台可维护院校、题库、知识库与政策信息。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Docker Compose 在新环境可启动。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16.3 最终交付检查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main 分支代码与最终演示版本一致。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数据库初始化脚本从空库执行成功。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README 和部署文档可由非开发成员复现。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演示账号与演示数据准备完成。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P0 无阻断缺陷；关键接口无未处理 500。</w:t>
      </w:r>
    </w:p>
    <w:p>
      <w:pPr>
        <w:spacing w:after="40"/>
        <w:ind w:left="283" w:hanging="198"/>
      </w:pPr>
      <w:r>
        <w:rPr>
          <w:rFonts w:ascii="Times New Roman" w:hAnsi="Times New Roman" w:eastAsia="宋体" w:cs="Times New Roman"/>
          <w:color w:val="222222"/>
          <w:sz w:val="20"/>
        </w:rPr>
        <w:t>□ 最终文档、源码、数据库脚本、Docker 配置齐全。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附录 A  常用命令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A.1 前端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npm install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npm run dev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npm run lint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npm run format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npm run build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A.2 后端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ruff check backend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black --check backend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black backend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pytest -q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Times New Roman" w:hAnsi="Times New Roman" w:eastAsia="宋体" w:cs="Times New Roman"/>
          <w:b/>
          <w:color w:val="1F4E79"/>
          <w:sz w:val="25"/>
        </w:rPr>
        <w:t>A.3 Docker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Borders>
              <w:top w:val="single" w:sz="3" w:space="0" w:color="C9D1D9"/>
              <w:left w:val="single" w:sz="3" w:space="0" w:color="C9D1D9"/>
              <w:bottom w:val="single" w:sz="3" w:space="0" w:color="C9D1D9"/>
              <w:right w:val="single" w:sz="3" w:space="0" w:color="C9D1D9"/>
              <w:insideH w:val="single" w:sz="3" w:space="0" w:color="C9D1D9"/>
              <w:insideV w:val="single" w:sz="3" w:space="0" w:color="C9D1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docker compose config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docker compose up -d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docker compose ps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docker compose logs -f backend</w:t>
              <w:br/>
            </w:r>
            <w:r>
              <w:rPr>
                <w:rFonts w:ascii="Times New Roman" w:hAnsi="Times New Roman" w:eastAsia="宋体" w:cs="Times New Roman"/>
                <w:color w:val="333333"/>
                <w:sz w:val="18"/>
              </w:rPr>
              <w:t>docker compose down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宋体" w:cs="Times New Roman"/>
          <w:b/>
          <w:color w:val="1F4E79"/>
          <w:sz w:val="30"/>
        </w:rPr>
        <w:t>附录 B  命名与接口示例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类型</w:t>
            </w:r>
          </w:p>
        </w:tc>
        <w:tc>
          <w:tcPr>
            <w:tcW w:type="dxa" w:w="3515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推荐</w:t>
            </w:r>
          </w:p>
        </w:tc>
        <w:tc>
          <w:tcPr>
            <w:tcW w:type="dxa" w:w="3515"/>
            <w:shd w:fill="DDEBF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222222"/>
                <w:sz w:val="18"/>
              </w:rPr>
              <w:t>不推荐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Vue 组件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StudyPlanCard.vue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studyplan.vue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TS 函数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fetchSchoolList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getData1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Python Service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LearningPlanService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PlanSvc2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Python 方法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update_learning_profile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updateProfileData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数据库表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knowledge_document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KnowledgeDocument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GET /api/v1/schools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GET /getSchoolList</w:t>
            </w:r>
          </w:p>
        </w:tc>
      </w:tr>
      <w:tr>
        <w:tc>
          <w:tcPr>
            <w:tcW w:type="dxa" w:w="181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错误码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STUDY_PLAN_NOT_FOUND</w:t>
            </w:r>
          </w:p>
        </w:tc>
        <w:tc>
          <w:tcPr>
            <w:tcW w:type="dxa" w:w="35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ERROR_1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  <w:insideH w:val="single" w:sz="3" w:space="0" w:color="B7C9D6"/>
              <w:insideV w:val="single" w:sz="3" w:space="0" w:color="B7C9D6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9"/>
              </w:rPr>
              <w:t>文档关系：</w:t>
            </w:r>
            <w:r>
              <w:rPr>
                <w:rFonts w:ascii="Times New Roman" w:hAnsi="Times New Roman" w:eastAsia="宋体" w:cs="Times New Roman"/>
                <w:color w:val="222222"/>
                <w:sz w:val="19"/>
              </w:rPr>
              <w:t>本规范与《推荐技术方案 V1.0》共同使用：技术方案回答“系统怎么设计”，本规范约束“团队如何一致地实现、检查和交付”。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8080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 w:cs="Times New Roman"/>
        <w:color w:val="7F7F7F"/>
        <w:sz w:val="17"/>
      </w:rPr>
      <w:t>大学生考研 AI 导学系统｜项目开发规范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 w:cs="Times New Roman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 w:cs="Times New Roman"/>
      <w:b w:val="0"/>
      <w:i/>
      <w:iCs/>
      <w:color w:val="222222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大学生考研 AI 导学系统 项目开发规范 V1.0</dc:title>
  <dc:subject>课程设计项目开发规范</dc:subject>
  <dc:creator>python-docx</dc:creator>
  <cp:keywords>Vue3, FastAPI, PostgreSQL, pgvector, Redis, MinIO, RAG, AI, 项目规范</cp:keywords>
  <dc:description>中文宋体，英文与数字 Times New Roman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