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00F24">
      <w:pPr>
        <w:keepNext/>
        <w:spacing w:before="240" w:after="120" w:line="288" w:lineRule="auto"/>
        <w:jc w:val="center"/>
        <w:rPr>
          <w:lang w:eastAsia="zh-CN"/>
        </w:rPr>
      </w:pPr>
      <w:r>
        <w:rPr>
          <w:rFonts w:eastAsia="黑体"/>
          <w:b/>
          <w:color w:val="000000"/>
          <w:sz w:val="32"/>
          <w:lang w:eastAsia="zh-CN"/>
        </w:rPr>
        <w:t>第一部分 能源领域未来产业潜在方向研判</w:t>
      </w:r>
    </w:p>
    <w:p w14:paraId="42C18410">
      <w:pPr>
        <w:spacing w:after="0" w:line="360" w:lineRule="auto"/>
        <w:ind w:firstLine="480" w:firstLineChars="200"/>
        <w:jc w:val="both"/>
        <w:rPr>
          <w:rFonts w:hint="eastAsia" w:ascii="宋体" w:hAnsi="宋体" w:cs="宋体"/>
          <w:szCs w:val="24"/>
          <w:lang w:eastAsia="zh-CN"/>
        </w:rPr>
      </w:pPr>
      <w:r>
        <w:rPr>
          <w:rFonts w:cs="宋体"/>
          <w:color w:val="000000"/>
          <w:szCs w:val="24"/>
          <w:lang w:eastAsia="zh-CN"/>
        </w:rPr>
        <w:t>在“双碳”战略目标、能源安全自主可控和人工智能算力需求快速增长的共同驱动下，前瞻布局能源领域未来产业已成为推动能源结构转型、培育新质生产力和抢占产业发展主动权的重要任务。面向新型能源体系和新型电力系统建设要求，有必要识别兼具战略价值、技术潜力和应用基础的未来产业赛道，明确其关键支撑条件与发展逻辑，并为后续技术评价、模型验证和培育路径设计奠定基础。基于能源转型趋势、绿色算力发展需求、县域资源禀赋和产业升级场景，本章聚焦县域算电协同边缘算力产业，重点阐明其概念内涵、核心机制、县域基础、适配条件与战略价值，并通过多赛道比较分析其作为能源领域未来产业潜在方向的前瞻性、战略性、颠覆性和可验证性。</w:t>
      </w:r>
    </w:p>
    <w:p w14:paraId="14F42531">
      <w:pPr>
        <w:keepNext/>
        <w:spacing w:before="160" w:after="120" w:line="288" w:lineRule="auto"/>
        <w:rPr>
          <w:lang w:eastAsia="zh-CN"/>
        </w:rPr>
      </w:pPr>
      <w:r>
        <w:rPr>
          <w:rFonts w:eastAsia="黑体"/>
          <w:b/>
          <w:color w:val="000000"/>
          <w:sz w:val="30"/>
          <w:lang w:eastAsia="zh-CN"/>
        </w:rPr>
        <w:t>1.1 政策背景与算电协同概念基础</w:t>
      </w:r>
    </w:p>
    <w:p w14:paraId="7543984C">
      <w:pPr>
        <w:pStyle w:val="30"/>
        <w:shd w:val="clear" w:color="auto" w:fill="FFFFFF"/>
        <w:spacing w:beforeAutospacing="0" w:afterAutospacing="0" w:line="360" w:lineRule="auto"/>
        <w:ind w:firstLine="480" w:firstLineChars="200"/>
        <w:jc w:val="both"/>
        <w:rPr>
          <w:rFonts w:hint="eastAsia" w:ascii="宋体" w:hAnsi="宋体" w:cs="宋体"/>
          <w:color w:val="0F1115"/>
          <w:szCs w:val="24"/>
          <w:shd w:val="clear" w:color="auto" w:fill="FFFFFF"/>
        </w:rPr>
      </w:pPr>
      <w:r>
        <w:t>未来产业是把握新一轮科技革命和产业变革机遇、抢占发展制高点的战略选择。习近平总书记强调，未来产业具有前瞻性、战略性、颠覆性特点，需立足客观条件、发挥比较优势、坚持梯度培育，发挥企业主体作用，推动各类创新资源向企业集聚，大力培育核心技术领先、创新能力强的科技领军企业和高新技术企业，引领带动产业向前沿和高端领域迈进。在“双碳”战略与能源安全自主可控的双重驱动下，国家能源局明确以“十五五”开局为契机，加快编制未来能源中长期发展专项规划，系统布局氢能、新型储能、核聚变能等重点赛道，明晰技术路线图和产业化时间表。算力与电力系统的深度协同，正在成为能源领域未来产业中具有较强融合创新潜力的重要方向。相较于单一能源技术或单一算力基础设施，算电协同更强调绿色电力供给、算力负荷调节、数字化调度和低碳评价之间的系统耦合，具有较高的能源转型价值和产业培育潜力[1]。</w:t>
      </w:r>
    </w:p>
    <w:p w14:paraId="3D369119">
      <w:pPr>
        <w:pStyle w:val="30"/>
        <w:keepNext/>
        <w:shd w:val="clear" w:color="auto" w:fill="FFFFFF"/>
        <w:spacing w:beforeAutospacing="0" w:afterAutospacing="0" w:line="288" w:lineRule="auto"/>
        <w:rPr>
          <w:rFonts w:hint="eastAsia" w:ascii="宋体" w:hAnsi="宋体" w:cs="宋体"/>
          <w:b/>
          <w:bCs/>
          <w:color w:val="0F1115"/>
          <w:szCs w:val="24"/>
        </w:rPr>
      </w:pPr>
      <w:r>
        <w:rPr>
          <w:rFonts w:eastAsia="黑体"/>
          <w:b/>
          <w:color w:val="000000"/>
        </w:rPr>
        <w:t>1.1.1 顶层政策密集部署，算电协同进入加速落地期</w:t>
      </w:r>
    </w:p>
    <w:p w14:paraId="71693EBA">
      <w:pPr>
        <w:pStyle w:val="30"/>
        <w:shd w:val="clear" w:color="auto" w:fill="FFFFFF"/>
        <w:spacing w:beforeAutospacing="0" w:afterAutospacing="0" w:line="360" w:lineRule="auto"/>
        <w:ind w:firstLine="480" w:firstLineChars="200"/>
        <w:jc w:val="both"/>
        <w:rPr>
          <w:rFonts w:hint="eastAsia" w:ascii="宋体" w:hAnsi="宋体" w:cs="宋体"/>
          <w:color w:val="0F1115"/>
          <w:szCs w:val="24"/>
          <w:shd w:val="clear" w:color="auto" w:fill="FFFFFF"/>
        </w:rPr>
      </w:pPr>
      <w:r>
        <w:rPr>
          <w:color w:val="000000"/>
        </w:rPr>
        <w:t>2026年以来，算电协同相关政策信号持续增强，标志着该方向由概念探索逐步进入场景验证和工程落地阶段。该方向首次写入政府工作报告，与“超大规模智算集群”并列为新基建工程[2]；“十五五”规划纲要在“强化算力算法数据高效供给”中明确要求“推动绿色电力与算力协同布局”[3]。4月，中共中央政治局会议部署推进“六张网”建设，其中新型电网、算力网、新一代通信网与算电协同密切相关。5月，国家发展改革委、国家能源局、工业和信息化部、国家数据局四部门联合印发《关于促进人工智能与能源双向赋能的行动方案》，明确“能源支撑人工智能发展、人工智能赋能能源转型”双主线[4]；6月《新型能源体系建设“十五五”规划》进一步要求“加强算力等新型高载能产业节能提效，加快推进新增用电量由新增清洁能源电量覆盖”[5]。密集政策表明，算电协同已上升为支撑AI发展与能源转型的国家级战略工程。</w:t>
      </w:r>
    </w:p>
    <w:p w14:paraId="6D984CD2">
      <w:pPr>
        <w:pStyle w:val="30"/>
        <w:keepNext/>
        <w:shd w:val="clear" w:color="auto" w:fill="FFFFFF"/>
        <w:spacing w:beforeAutospacing="0" w:afterAutospacing="0" w:line="288" w:lineRule="auto"/>
        <w:rPr>
          <w:rFonts w:hint="eastAsia" w:ascii="宋体" w:hAnsi="宋体" w:cs="宋体"/>
          <w:b/>
          <w:bCs/>
          <w:color w:val="0F1115"/>
          <w:szCs w:val="24"/>
        </w:rPr>
      </w:pPr>
      <w:r>
        <w:rPr>
          <w:rFonts w:eastAsia="黑体"/>
          <w:b/>
          <w:color w:val="000000"/>
        </w:rPr>
        <w:t>1.1.2 概念界定与“电</w:t>
      </w:r>
      <w:r>
        <w:rPr>
          <w:rFonts w:hint="eastAsia" w:eastAsia="黑体"/>
          <w:b/>
          <w:color w:val="000000"/>
          <w:lang w:eastAsia="zh-CN"/>
        </w:rPr>
        <w:t>—</w:t>
      </w:r>
      <w:r>
        <w:rPr>
          <w:rFonts w:eastAsia="黑体"/>
          <w:b/>
          <w:color w:val="000000"/>
        </w:rPr>
        <w:t>算”耦合</w:t>
      </w:r>
      <w:r>
        <w:rPr>
          <w:rFonts w:hint="eastAsia" w:eastAsia="黑体"/>
          <w:b/>
          <w:color w:val="000000"/>
          <w:lang w:val="en-US" w:eastAsia="zh-CN"/>
        </w:rPr>
        <w:t>创新</w:t>
      </w:r>
      <w:r>
        <w:rPr>
          <w:rFonts w:eastAsia="黑体"/>
          <w:b/>
          <w:color w:val="000000"/>
        </w:rPr>
        <w:t>逻辑</w:t>
      </w:r>
    </w:p>
    <w:p w14:paraId="06C7F9D2">
      <w:pPr>
        <w:pStyle w:val="30"/>
        <w:shd w:val="clear" w:color="auto" w:fill="FFFFFF"/>
        <w:spacing w:beforeAutospacing="0" w:afterAutospacing="0" w:line="360" w:lineRule="auto"/>
        <w:ind w:firstLine="480" w:firstLineChars="200"/>
        <w:jc w:val="both"/>
        <w:rPr>
          <w:rFonts w:hint="eastAsia" w:ascii="宋体" w:hAnsi="宋体" w:cs="宋体"/>
          <w:color w:val="0F1115"/>
          <w:szCs w:val="24"/>
          <w:shd w:val="clear" w:color="auto" w:fill="FFFFFF"/>
        </w:rPr>
      </w:pPr>
      <w:r>
        <w:t>国家数据局局长刘烈宏在中国发展高层论坛2026年年会上明确指出：算电协同是指通过数字化技术、智能算法和信息网络，将算力基础设施与电力系统进行深度融合，推动资源动态匹配与优化配置的新基建工程，其核心目标是形成“以电强算、以算促电”的良性循环。其</w:t>
      </w:r>
      <w:r>
        <w:rPr>
          <w:rFonts w:hint="eastAsia"/>
          <w:lang w:val="en-US" w:eastAsia="zh-CN"/>
        </w:rPr>
        <w:t>创新</w:t>
      </w:r>
      <w:r>
        <w:t>价值体现在双向突破：“以电强算”</w:t>
      </w:r>
      <w:r>
        <w:rPr>
          <w:rFonts w:hint="eastAsia"/>
          <w:lang w:val="en-US" w:eastAsia="zh-CN"/>
        </w:rPr>
        <w:t>是指</w:t>
      </w:r>
      <w:r>
        <w:t>通过绿电直供、绿电聚合供应，提高绿色电力对算力的支撑能力。国家发展改革委等部门印发的《数据中心绿色低碳发展专项行动计划》提出，到2025年底国家枢纽节点新建数据中心绿电占比超过80%；“以算促电”</w:t>
      </w:r>
      <w:r>
        <w:rPr>
          <w:rFonts w:hint="eastAsia"/>
          <w:lang w:val="en-US" w:eastAsia="zh-CN"/>
        </w:rPr>
        <w:t>是指</w:t>
      </w:r>
      <w:r>
        <w:t>利用算力任务天然具备的可中断、可迁移、可调度特征，将数据中心从“被动用电者”转变为“主动调节单元”，切实提升新能源整体消纳率。算电协同的本质，是通过电力系统保障算力可靠供给与算力负荷参与电力系统调节的双向耦合，推动能源流、算力流、数据流与碳排放管理的协同优化[6][13]。</w:t>
      </w:r>
    </w:p>
    <w:p w14:paraId="40C7A58F">
      <w:pPr>
        <w:pStyle w:val="30"/>
        <w:keepNext/>
        <w:shd w:val="clear" w:color="auto" w:fill="FFFFFF"/>
        <w:spacing w:beforeAutospacing="0" w:afterAutospacing="0" w:line="288" w:lineRule="auto"/>
        <w:rPr>
          <w:rFonts w:hint="eastAsia" w:eastAsia="黑体"/>
          <w:b/>
          <w:color w:val="000000"/>
        </w:rPr>
      </w:pPr>
      <w:r>
        <w:rPr>
          <w:rFonts w:eastAsia="黑体"/>
          <w:b/>
          <w:color w:val="000000"/>
        </w:rPr>
        <w:t>1.1.3 县域：验证算电协同的重要场景</w:t>
      </w:r>
    </w:p>
    <w:p w14:paraId="46274899">
      <w:pPr>
        <w:pStyle w:val="30"/>
        <w:shd w:val="clear" w:color="auto" w:fill="FFFFFF"/>
        <w:spacing w:beforeAutospacing="0" w:afterAutospacing="0" w:line="360" w:lineRule="auto"/>
        <w:ind w:firstLine="480" w:firstLineChars="200"/>
        <w:jc w:val="both"/>
        <w:rPr>
          <w:rFonts w:hint="eastAsia" w:ascii="宋体" w:hAnsi="宋体" w:cs="宋体"/>
          <w:color w:val="0F1115"/>
          <w:szCs w:val="24"/>
          <w:shd w:val="clear" w:color="auto" w:fill="FFFFFF"/>
        </w:rPr>
      </w:pPr>
      <w:r>
        <w:t>截至2023年底，我国县域经济体量达到全国GDP的38.1%，县域人口占全国人口的52.5%，是数字经济下沉和产业转型升级的重要场景。分布式光伏是县域绿电的重要来源：2022年全国分布式光伏新增装机5111万千瓦，占当年光伏新增装机58%以上。县域配电网承载能力、绿电就地消纳和边缘算力需求之间的协同，构成验证“算随电走”机制的重要现实场景。工业质检、农业识别、能源巡检和公共治理等轻量化AI应用，可为边缘侧形成具有不同实时性要求的算力任务结构[14][15]。</w:t>
      </w:r>
    </w:p>
    <w:p w14:paraId="6C18F3C4">
      <w:pPr>
        <w:pStyle w:val="30"/>
        <w:keepNext/>
        <w:shd w:val="clear" w:color="auto" w:fill="FFFFFF"/>
        <w:spacing w:beforeAutospacing="0" w:afterAutospacing="0" w:line="288" w:lineRule="auto"/>
        <w:rPr>
          <w:rFonts w:hint="eastAsia" w:ascii="宋体" w:hAnsi="宋体" w:cs="宋体"/>
          <w:b/>
          <w:bCs/>
          <w:color w:val="0F1115"/>
          <w:szCs w:val="24"/>
        </w:rPr>
      </w:pPr>
      <w:r>
        <w:rPr>
          <w:rFonts w:eastAsia="黑体"/>
          <w:b/>
          <w:color w:val="000000"/>
        </w:rPr>
        <w:t>1.1.4 本作品研究定位</w:t>
      </w:r>
    </w:p>
    <w:p w14:paraId="144C8C69">
      <w:pPr>
        <w:spacing w:after="0" w:line="360" w:lineRule="auto"/>
        <w:ind w:firstLine="480" w:firstLineChars="200"/>
        <w:jc w:val="both"/>
        <w:rPr>
          <w:rFonts w:hint="eastAsia" w:ascii="宋体" w:hAnsi="宋体" w:cs="宋体"/>
          <w:color w:val="0F1115"/>
          <w:szCs w:val="24"/>
          <w:shd w:val="clear" w:color="auto" w:fill="FFFFFF"/>
          <w:lang w:eastAsia="zh-CN"/>
        </w:rPr>
      </w:pPr>
      <w:r>
        <w:rPr>
          <w:lang w:eastAsia="zh-CN"/>
        </w:rPr>
        <w:t>基于上述背景，本作品所研究的县域算电协同边缘算力产业，是对国家算电协同战略在县域层面的具体响应。该方向并非简单建设数据中心或使用绿电，而是面向县域分布式绿电波动与轻量化AI需求，将“算电协同”作为顶层方向、“算随电走”作为核心机制、“源网荷储算碳协同优化”作为技术支撑，探索绿电—算力—任务—储能—碳管理闭环运行的新型能源未来产业形态[2][3][4][5]。</w:t>
      </w:r>
    </w:p>
    <w:p w14:paraId="57B34254">
      <w:pPr>
        <w:keepNext/>
        <w:spacing w:before="160" w:after="120" w:line="288" w:lineRule="auto"/>
        <w:rPr>
          <w:rFonts w:hint="eastAsia" w:ascii="黑体" w:hAnsi="黑体" w:eastAsia="黑体" w:cs="黑体"/>
          <w:b/>
          <w:bCs/>
          <w:sz w:val="32"/>
          <w:szCs w:val="32"/>
          <w:lang w:eastAsia="zh-CN"/>
        </w:rPr>
      </w:pPr>
      <w:r>
        <w:rPr>
          <w:rFonts w:eastAsia="黑体"/>
          <w:b/>
          <w:color w:val="000000"/>
          <w:sz w:val="30"/>
          <w:lang w:eastAsia="zh-CN"/>
        </w:rPr>
        <w:t>1.2 “电随算走”与“算随电走”运行机制对比</w:t>
      </w:r>
    </w:p>
    <w:p w14:paraId="13047479">
      <w:pPr>
        <w:pStyle w:val="30"/>
        <w:shd w:val="clear" w:color="auto" w:fill="FFFFFF"/>
        <w:spacing w:beforeAutospacing="0" w:afterAutospacing="0" w:line="360" w:lineRule="auto"/>
        <w:ind w:firstLine="480" w:firstLineChars="200"/>
        <w:jc w:val="both"/>
        <w:rPr>
          <w:rFonts w:hint="eastAsia" w:ascii="宋体" w:hAnsi="宋体" w:cs="宋体"/>
          <w:color w:val="0F1115"/>
          <w:szCs w:val="24"/>
          <w:shd w:val="clear" w:color="auto" w:fill="FFFFFF"/>
        </w:rPr>
      </w:pPr>
      <w:r>
        <w:rPr>
          <w:rFonts w:hint="eastAsia" w:cs="宋体"/>
          <w:color w:val="000000"/>
          <w:szCs w:val="24"/>
          <w:shd w:val="clear" w:color="auto" w:fill="FFFFFF"/>
        </w:rPr>
        <w:t>“电随算走”与“算随电走”代表了算力基础设施与电力系统两种截然不同的耦合范式。简言之，“电随算走”属于能源被动保障算力的模式，其核心是算力设施按需建设、电网提供刚性供电；而“算随电走”属于算力主动适配能源的模式，其核心是算力任务作为一种柔性负荷，依据绿电的时空分布规律进行动态调度。</w:t>
      </w:r>
    </w:p>
    <w:p w14:paraId="2CF50546">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rPr>
          <w:rFonts w:hint="eastAsia" w:cs="宋体"/>
          <w:color w:val="000000"/>
          <w:szCs w:val="24"/>
          <w:shd w:val="clear" w:color="auto" w:fill="FFFFFF"/>
        </w:rPr>
        <w:t>传统算力基础设施普遍遵循“电随算走”的运行逻辑，即以计算业务的连续性需求为核心，先确定算力部署规模与运行计划，再由电力系统提供匹配的持续供电保障。该模式的核心是算力需求主导、供电跟随保障，与算力节点的集中或分散部署无必然关联，既适用于大型集中式算力中心，也适用于边缘侧安防、设备告警等刚性算力场景。该模式下算力负荷整体偏刚性，电力系统主要承担可靠供电和容量保障功能，适配大模型训练、云计算中心、高性能计算以及关键实时类计算等持续性、高强度、强可靠性的计算场景，但算力负荷主动匹配分布式绿电出力波动的能力有限。</w:t>
      </w:r>
    </w:p>
    <w:p w14:paraId="4ED81490">
      <w:pPr>
        <w:pStyle w:val="30"/>
        <w:shd w:val="clear" w:color="auto" w:fill="FFFFFF"/>
        <w:spacing w:beforeAutospacing="0" w:afterAutospacing="0" w:line="360" w:lineRule="auto"/>
        <w:ind w:firstLine="480" w:firstLineChars="200"/>
        <w:jc w:val="both"/>
        <w:rPr>
          <w:rFonts w:hint="eastAsia" w:ascii="宋体" w:hAnsi="宋体" w:cs="宋体"/>
          <w:color w:val="0F1115"/>
          <w:szCs w:val="24"/>
          <w:shd w:val="clear" w:color="auto" w:fill="FFFFFF"/>
        </w:rPr>
      </w:pPr>
      <w:r>
        <w:t>针对县域分布式绿电出力波动性加剧与轻量化人工智能算力需求快速增长的现实矛盾，传统集中式刚性算力运行模式难以实现算力负荷与绿电资源的时空协同消纳。“算随电走”是与“电随算走”相对的耦合逻辑，核心是绿电供给引导、算力负荷主动适配，以具备可迁移、可延迟与弹性调度特征的AI计算任务为调控对象，通过时间与空间双维度的动态编排，实现算力负荷与本地绿电出力曲线、电价波动区间及电力系统碳强度变化的精准匹配。其中，时间维度指在同一算力节点内，依据绿电出力时序调整不同优先级任务的执行时段；空间维度指在多节点算力网络中，将可迁移任务调度至绿电富余、碳强度更低的节点运行。该机制基于任务实时性与可靠性约束构建差异化协同调度体系，仅针对弹性与温冷任务执行“随电而动”的调度，刚性任务仍遵循“电随算走”逻辑优先保障供电，通过“刚性优先保障、弹性动态调节、温冷择时运行”的分级调度策略，</w:t>
      </w:r>
      <w:r>
        <w:rPr>
          <w:rFonts w:hint="eastAsia"/>
        </w:rPr>
        <w:t>在守住关键业务服务可靠性底线的前提下，有望提升县域分布式绿电就地消纳能力，有助于降低单位算力碳排放水平</w:t>
      </w:r>
      <w:r>
        <w:t>[7][8]。</w:t>
      </w:r>
    </w:p>
    <w:p w14:paraId="5299B2C0">
      <w:pPr>
        <w:pStyle w:val="30"/>
        <w:shd w:val="clear" w:color="auto" w:fill="FFFFFF"/>
        <w:spacing w:beforeAutospacing="0" w:afterAutospacing="0" w:line="360" w:lineRule="auto"/>
        <w:ind w:firstLine="480" w:firstLineChars="200"/>
        <w:jc w:val="both"/>
        <w:rPr>
          <w:rFonts w:hint="eastAsia" w:ascii="宋体" w:hAnsi="宋体" w:cs="宋体"/>
          <w:color w:val="0F1115"/>
          <w:szCs w:val="24"/>
          <w:shd w:val="clear" w:color="auto" w:fill="FFFFFF"/>
        </w:rPr>
      </w:pPr>
      <w:r>
        <w:rPr>
          <w:color w:val="000000"/>
        </w:rPr>
        <w:t>两种模式的核心差异并非算力部署的空间位置，而是算力负荷与能源供给之间的主导逻辑与耦合关系：前者是“算力需求主导，供电跟随算力”，后者是“绿电供给引导，算力适应绿电”。需要说明的是，集中式算力枢纽以“电随算走”为主要运行逻辑，县域边缘算力以“算随电走”为核心特色，这是场景适配的结果，而非模式本身的属性边界</w:t>
      </w:r>
      <w:r>
        <w:rPr>
          <w:rFonts w:hint="eastAsia"/>
          <w:color w:val="000000"/>
          <w:lang w:eastAsia="zh-CN"/>
        </w:rPr>
        <w:t>，</w:t>
      </w:r>
      <w:r>
        <w:rPr>
          <w:color w:val="000000"/>
        </w:rPr>
        <w:t>边缘算力的刚性任务仍采用“电随算走”保障逻辑，集中式算力也可探索部分温冷任务的“算随电走”调度。为进一步说明两种模式在运行逻辑上的差异，图1-1从能源供给、算力任务、调度方式和价值输出四个环节对“电随算走”与“算随电走”进行对比。图中左侧表示传统集中式算力中心以计算需求为起点，由电力系统持续保障供电；右侧表示县域边缘算力在绿电预测和任务分级基础上，对可迁移、可延迟、可弹性调度的任务进行动态安排，使部分算力负荷能够与本地绿电出力形成更高程度的时序匹配。</w:t>
      </w:r>
    </w:p>
    <w:p w14:paraId="6D6B52CE">
      <w:pPr>
        <w:keepNext/>
        <w:spacing w:after="0" w:line="360" w:lineRule="auto"/>
        <w:jc w:val="center"/>
      </w:pPr>
      <w:r>
        <w:drawing>
          <wp:inline distT="0" distB="0" distL="0" distR="0">
            <wp:extent cx="5006975" cy="3039745"/>
            <wp:effectExtent l="0" t="0" r="3175" b="8255"/>
            <wp:docPr id="996155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5235"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017581" cy="3046620"/>
                    </a:xfrm>
                    <a:prstGeom prst="rect">
                      <a:avLst/>
                    </a:prstGeom>
                    <a:noFill/>
                    <a:ln>
                      <a:noFill/>
                    </a:ln>
                  </pic:spPr>
                </pic:pic>
              </a:graphicData>
            </a:graphic>
          </wp:inline>
        </w:drawing>
      </w:r>
    </w:p>
    <w:p w14:paraId="4954879F">
      <w:pPr>
        <w:spacing w:before="80" w:after="40" w:line="240" w:lineRule="auto"/>
        <w:jc w:val="center"/>
        <w:rPr>
          <w:rFonts w:hint="eastAsia" w:ascii="宋体" w:hAnsi="宋体" w:cs="宋体"/>
          <w:b/>
          <w:bCs/>
          <w:color w:val="0F1115"/>
          <w:sz w:val="18"/>
          <w:szCs w:val="18"/>
          <w:shd w:val="clear" w:color="auto" w:fill="FFFFFF"/>
          <w:lang w:eastAsia="zh-CN"/>
        </w:rPr>
      </w:pPr>
      <w:r>
        <w:rPr>
          <w:color w:val="000000"/>
          <w:sz w:val="21"/>
          <w:lang w:eastAsia="zh-CN"/>
        </w:rPr>
        <w:t>图1-1 电随算走与算随电走运行机制对比</w:t>
      </w:r>
    </w:p>
    <w:p w14:paraId="4AE3B00F">
      <w:pPr>
        <w:spacing w:after="0" w:line="360" w:lineRule="auto"/>
        <w:ind w:firstLine="480" w:firstLineChars="200"/>
        <w:jc w:val="both"/>
        <w:rPr>
          <w:rFonts w:hint="eastAsia" w:ascii="宋体" w:hAnsi="宋体" w:cs="宋体"/>
          <w:color w:val="0F1115"/>
          <w:szCs w:val="24"/>
          <w:shd w:val="clear" w:color="auto" w:fill="FFFFFF"/>
          <w:lang w:eastAsia="zh-CN"/>
        </w:rPr>
      </w:pPr>
      <w:r>
        <w:rPr>
          <w:color w:val="000000"/>
          <w:lang w:eastAsia="zh-CN"/>
        </w:rPr>
        <w:t>由图1-1可见，“算随电走”的核心并不是简单改变算力节点的空间位置，而是将绿电出力预测、任务优先级划分、边缘算力调度和电网补充机制纳入统一运行框架。与传统“电随算走”相比，该模式下算力负荷的可调节性更强，能源供给的低碳适配程度更高。为便于进一步比较二者在建设逻辑、负荷特性、能源关系、适用任务和核心价值等方面的差异，表1-</w:t>
      </w:r>
      <w:r>
        <w:rPr>
          <w:rFonts w:hint="eastAsia"/>
          <w:color w:val="000000"/>
          <w:lang w:val="en-US" w:eastAsia="zh-CN"/>
        </w:rPr>
        <w:t>1</w:t>
      </w:r>
      <w:r>
        <w:rPr>
          <w:color w:val="000000"/>
          <w:lang w:eastAsia="zh-CN"/>
        </w:rPr>
        <w:t>对两种模式的关键特征进行归纳。</w:t>
      </w:r>
    </w:p>
    <w:p w14:paraId="1BE60C5D">
      <w:pPr>
        <w:keepNext/>
        <w:spacing w:before="80" w:after="40" w:line="240" w:lineRule="auto"/>
        <w:jc w:val="center"/>
        <w:rPr>
          <w:rFonts w:hint="eastAsia" w:ascii="宋体" w:hAnsi="宋体" w:cs="宋体"/>
          <w:sz w:val="18"/>
          <w:szCs w:val="18"/>
          <w:lang w:eastAsia="zh-CN"/>
        </w:rPr>
      </w:pPr>
      <w:r>
        <w:rPr>
          <w:b/>
          <w:color w:val="000000"/>
          <w:sz w:val="21"/>
          <w:lang w:eastAsia="zh-CN"/>
        </w:rPr>
        <w:t>表1-</w:t>
      </w:r>
      <w:r>
        <w:rPr>
          <w:rFonts w:hint="eastAsia"/>
          <w:b/>
          <w:color w:val="000000"/>
          <w:sz w:val="21"/>
          <w:lang w:val="en-US" w:eastAsia="zh-CN"/>
        </w:rPr>
        <w:t>1</w:t>
      </w:r>
      <w:r>
        <w:rPr>
          <w:b/>
          <w:color w:val="000000"/>
          <w:sz w:val="21"/>
          <w:lang w:eastAsia="zh-CN"/>
        </w:rPr>
        <w:t xml:space="preserve"> 电随算走与算随电走核心特性对比</w:t>
      </w:r>
    </w:p>
    <w:tbl>
      <w:tblPr>
        <w:tblStyle w:val="33"/>
        <w:tblW w:w="0" w:type="auto"/>
        <w:jc w:val="center"/>
        <w:tblLayout w:type="autofit"/>
        <w:tblCellMar>
          <w:top w:w="0" w:type="dxa"/>
          <w:left w:w="108" w:type="dxa"/>
          <w:bottom w:w="0" w:type="dxa"/>
          <w:right w:w="108" w:type="dxa"/>
        </w:tblCellMar>
      </w:tblPr>
      <w:tblGrid>
        <w:gridCol w:w="1701"/>
        <w:gridCol w:w="3288"/>
        <w:gridCol w:w="3515"/>
      </w:tblGrid>
      <w:tr w14:paraId="42E1283E">
        <w:tblPrEx>
          <w:tblCellMar>
            <w:top w:w="0" w:type="dxa"/>
            <w:left w:w="108" w:type="dxa"/>
            <w:bottom w:w="0" w:type="dxa"/>
            <w:right w:w="108" w:type="dxa"/>
          </w:tblCellMar>
        </w:tblPrEx>
        <w:trPr>
          <w:tblHeader/>
          <w:jc w:val="center"/>
        </w:trPr>
        <w:tc>
          <w:tcPr>
            <w:tcW w:w="1701"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63750840">
            <w:pPr>
              <w:spacing w:after="0" w:line="240" w:lineRule="auto"/>
              <w:jc w:val="center"/>
            </w:pPr>
            <w:r>
              <w:rPr>
                <w:b/>
                <w:color w:val="000000"/>
                <w:sz w:val="21"/>
              </w:rPr>
              <w:t>比较维度</w:t>
            </w:r>
          </w:p>
        </w:tc>
        <w:tc>
          <w:tcPr>
            <w:tcW w:w="3288"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1BCA6F7F">
            <w:pPr>
              <w:spacing w:after="0" w:line="240" w:lineRule="auto"/>
              <w:jc w:val="center"/>
            </w:pPr>
            <w:r>
              <w:rPr>
                <w:b/>
                <w:color w:val="000000"/>
                <w:sz w:val="21"/>
              </w:rPr>
              <w:t>电随算走</w:t>
            </w:r>
          </w:p>
        </w:tc>
        <w:tc>
          <w:tcPr>
            <w:tcW w:w="3515"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4024125C">
            <w:pPr>
              <w:spacing w:after="0" w:line="240" w:lineRule="auto"/>
              <w:jc w:val="center"/>
            </w:pPr>
            <w:r>
              <w:rPr>
                <w:b/>
                <w:color w:val="000000"/>
                <w:sz w:val="21"/>
              </w:rPr>
              <w:t>算随电走</w:t>
            </w:r>
          </w:p>
        </w:tc>
      </w:tr>
      <w:tr w14:paraId="2927D9AD">
        <w:tblPrEx>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90" w:type="dxa"/>
              <w:bottom w:w="80" w:type="dxa"/>
              <w:right w:w="90" w:type="dxa"/>
            </w:tcMar>
            <w:vAlign w:val="center"/>
          </w:tcPr>
          <w:p w14:paraId="52D19DAD">
            <w:pPr>
              <w:spacing w:after="0" w:line="240" w:lineRule="auto"/>
              <w:jc w:val="center"/>
            </w:pPr>
            <w:r>
              <w:rPr>
                <w:color w:val="000000"/>
                <w:sz w:val="21"/>
              </w:rPr>
              <w:t>建设逻辑</w:t>
            </w:r>
          </w:p>
        </w:tc>
        <w:tc>
          <w:tcPr>
            <w:tcW w:w="3288" w:type="dxa"/>
            <w:tcBorders>
              <w:top w:val="nil"/>
              <w:left w:val="nil"/>
              <w:bottom w:val="nil"/>
              <w:right w:val="nil"/>
            </w:tcBorders>
            <w:tcMar>
              <w:top w:w="80" w:type="dxa"/>
              <w:left w:w="90" w:type="dxa"/>
              <w:bottom w:w="80" w:type="dxa"/>
              <w:right w:w="90" w:type="dxa"/>
            </w:tcMar>
            <w:vAlign w:val="center"/>
          </w:tcPr>
          <w:p w14:paraId="4E9AD6CE">
            <w:pPr>
              <w:spacing w:after="0" w:line="240" w:lineRule="auto"/>
              <w:rPr>
                <w:lang w:eastAsia="zh-CN"/>
              </w:rPr>
            </w:pPr>
            <w:r>
              <w:rPr>
                <w:rFonts w:cs="宋体"/>
                <w:color w:val="000000"/>
                <w:sz w:val="21"/>
                <w:szCs w:val="18"/>
                <w:lang w:eastAsia="zh-CN"/>
              </w:rPr>
              <w:t>以计算业务连续性和算力资源利用率为主导，电力系统提供可靠供电保障</w:t>
            </w:r>
          </w:p>
        </w:tc>
        <w:tc>
          <w:tcPr>
            <w:tcW w:w="3515" w:type="dxa"/>
            <w:tcBorders>
              <w:top w:val="nil"/>
              <w:left w:val="nil"/>
              <w:bottom w:val="nil"/>
              <w:right w:val="nil"/>
            </w:tcBorders>
            <w:tcMar>
              <w:top w:w="80" w:type="dxa"/>
              <w:left w:w="90" w:type="dxa"/>
              <w:bottom w:w="80" w:type="dxa"/>
              <w:right w:w="90" w:type="dxa"/>
            </w:tcMar>
            <w:vAlign w:val="center"/>
          </w:tcPr>
          <w:p w14:paraId="252F7853">
            <w:pPr>
              <w:spacing w:after="0" w:line="240" w:lineRule="auto"/>
              <w:rPr>
                <w:lang w:eastAsia="zh-CN"/>
              </w:rPr>
            </w:pPr>
            <w:r>
              <w:rPr>
                <w:rFonts w:cs="宋体"/>
                <w:color w:val="000000"/>
                <w:sz w:val="21"/>
                <w:szCs w:val="18"/>
                <w:lang w:eastAsia="zh-CN"/>
              </w:rPr>
              <w:t>以绿电出力、电价水平、碳强度和任务时限为共同约束，引导部分算力任务动态运行</w:t>
            </w:r>
          </w:p>
        </w:tc>
      </w:tr>
      <w:tr w14:paraId="74D95ED8">
        <w:tblPrEx>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90" w:type="dxa"/>
              <w:bottom w:w="80" w:type="dxa"/>
              <w:right w:w="90" w:type="dxa"/>
            </w:tcMar>
            <w:vAlign w:val="center"/>
          </w:tcPr>
          <w:p w14:paraId="78D68D4C">
            <w:pPr>
              <w:spacing w:after="0" w:line="240" w:lineRule="auto"/>
              <w:jc w:val="center"/>
            </w:pPr>
            <w:r>
              <w:rPr>
                <w:color w:val="000000"/>
                <w:sz w:val="21"/>
              </w:rPr>
              <w:t>负荷特性</w:t>
            </w:r>
          </w:p>
        </w:tc>
        <w:tc>
          <w:tcPr>
            <w:tcW w:w="3288" w:type="dxa"/>
            <w:tcBorders>
              <w:top w:val="nil"/>
              <w:left w:val="nil"/>
              <w:bottom w:val="nil"/>
              <w:right w:val="nil"/>
            </w:tcBorders>
            <w:tcMar>
              <w:top w:w="80" w:type="dxa"/>
              <w:left w:w="90" w:type="dxa"/>
              <w:bottom w:w="80" w:type="dxa"/>
              <w:right w:w="90" w:type="dxa"/>
            </w:tcMar>
            <w:vAlign w:val="center"/>
          </w:tcPr>
          <w:p w14:paraId="59F79970">
            <w:pPr>
              <w:spacing w:after="0" w:line="240" w:lineRule="auto"/>
              <w:rPr>
                <w:lang w:eastAsia="zh-CN"/>
              </w:rPr>
            </w:pPr>
            <w:r>
              <w:rPr>
                <w:color w:val="000000"/>
                <w:sz w:val="21"/>
                <w:lang w:eastAsia="zh-CN"/>
              </w:rPr>
              <w:t>固定负荷为主，调节能力有限</w:t>
            </w:r>
          </w:p>
        </w:tc>
        <w:tc>
          <w:tcPr>
            <w:tcW w:w="3515" w:type="dxa"/>
            <w:tcBorders>
              <w:top w:val="nil"/>
              <w:left w:val="nil"/>
              <w:bottom w:val="nil"/>
              <w:right w:val="nil"/>
            </w:tcBorders>
            <w:tcMar>
              <w:top w:w="80" w:type="dxa"/>
              <w:left w:w="90" w:type="dxa"/>
              <w:bottom w:w="80" w:type="dxa"/>
              <w:right w:w="90" w:type="dxa"/>
            </w:tcMar>
            <w:vAlign w:val="center"/>
          </w:tcPr>
          <w:p w14:paraId="0AC64F35">
            <w:pPr>
              <w:spacing w:after="0" w:line="240" w:lineRule="auto"/>
              <w:rPr>
                <w:lang w:eastAsia="zh-CN"/>
              </w:rPr>
            </w:pPr>
            <w:r>
              <w:rPr>
                <w:rFonts w:hint="eastAsia"/>
                <w:color w:val="000000"/>
                <w:sz w:val="21"/>
                <w:lang w:eastAsia="zh-CN"/>
              </w:rPr>
              <w:t>刚性任务保底保障、弹性任务动态可调、温冷任务可延迟迁移</w:t>
            </w:r>
          </w:p>
        </w:tc>
      </w:tr>
      <w:tr w14:paraId="38E78150">
        <w:tblPrEx>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90" w:type="dxa"/>
              <w:bottom w:w="80" w:type="dxa"/>
              <w:right w:w="90" w:type="dxa"/>
            </w:tcMar>
            <w:vAlign w:val="center"/>
          </w:tcPr>
          <w:p w14:paraId="52188652">
            <w:pPr>
              <w:spacing w:after="0" w:line="240" w:lineRule="auto"/>
              <w:jc w:val="center"/>
            </w:pPr>
            <w:r>
              <w:rPr>
                <w:color w:val="000000"/>
                <w:sz w:val="21"/>
              </w:rPr>
              <w:t>能源关系</w:t>
            </w:r>
          </w:p>
        </w:tc>
        <w:tc>
          <w:tcPr>
            <w:tcW w:w="3288" w:type="dxa"/>
            <w:tcBorders>
              <w:top w:val="nil"/>
              <w:left w:val="nil"/>
              <w:bottom w:val="nil"/>
              <w:right w:val="nil"/>
            </w:tcBorders>
            <w:tcMar>
              <w:top w:w="80" w:type="dxa"/>
              <w:left w:w="90" w:type="dxa"/>
              <w:bottom w:w="80" w:type="dxa"/>
              <w:right w:w="90" w:type="dxa"/>
            </w:tcMar>
            <w:vAlign w:val="center"/>
          </w:tcPr>
          <w:p w14:paraId="11E5C964">
            <w:pPr>
              <w:spacing w:after="0" w:line="240" w:lineRule="auto"/>
              <w:rPr>
                <w:lang w:eastAsia="zh-CN"/>
              </w:rPr>
            </w:pPr>
            <w:r>
              <w:rPr>
                <w:rFonts w:hint="eastAsia"/>
                <w:color w:val="000000"/>
                <w:sz w:val="21"/>
                <w:lang w:eastAsia="zh-CN"/>
              </w:rPr>
              <w:t>以稳定电网供电为核心，绿电为补充性电源</w:t>
            </w:r>
          </w:p>
        </w:tc>
        <w:tc>
          <w:tcPr>
            <w:tcW w:w="3515" w:type="dxa"/>
            <w:tcBorders>
              <w:top w:val="nil"/>
              <w:left w:val="nil"/>
              <w:bottom w:val="nil"/>
              <w:right w:val="nil"/>
            </w:tcBorders>
            <w:tcMar>
              <w:top w:w="80" w:type="dxa"/>
              <w:left w:w="90" w:type="dxa"/>
              <w:bottom w:w="80" w:type="dxa"/>
              <w:right w:w="90" w:type="dxa"/>
            </w:tcMar>
            <w:vAlign w:val="center"/>
          </w:tcPr>
          <w:p w14:paraId="376BAD63">
            <w:pPr>
              <w:spacing w:after="0" w:line="240" w:lineRule="auto"/>
              <w:rPr>
                <w:lang w:eastAsia="zh-CN"/>
              </w:rPr>
            </w:pPr>
            <w:r>
              <w:rPr>
                <w:rFonts w:hint="eastAsia"/>
                <w:color w:val="000000"/>
                <w:sz w:val="21"/>
                <w:lang w:eastAsia="zh-CN"/>
              </w:rPr>
              <w:t>优先匹配本地绿电消纳，不足部分由电网、储能补充</w:t>
            </w:r>
          </w:p>
        </w:tc>
      </w:tr>
      <w:tr w14:paraId="7751BFFA">
        <w:tblPrEx>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90" w:type="dxa"/>
              <w:bottom w:w="80" w:type="dxa"/>
              <w:right w:w="90" w:type="dxa"/>
            </w:tcMar>
            <w:vAlign w:val="center"/>
          </w:tcPr>
          <w:p w14:paraId="2458A571">
            <w:pPr>
              <w:spacing w:after="0" w:line="240" w:lineRule="auto"/>
              <w:jc w:val="center"/>
            </w:pPr>
            <w:r>
              <w:rPr>
                <w:color w:val="000000"/>
                <w:sz w:val="21"/>
              </w:rPr>
              <w:t>适用任务</w:t>
            </w:r>
          </w:p>
        </w:tc>
        <w:tc>
          <w:tcPr>
            <w:tcW w:w="3288" w:type="dxa"/>
            <w:tcBorders>
              <w:top w:val="nil"/>
              <w:left w:val="nil"/>
              <w:bottom w:val="nil"/>
              <w:right w:val="nil"/>
            </w:tcBorders>
            <w:tcMar>
              <w:top w:w="80" w:type="dxa"/>
              <w:left w:w="90" w:type="dxa"/>
              <w:bottom w:w="80" w:type="dxa"/>
              <w:right w:w="90" w:type="dxa"/>
            </w:tcMar>
            <w:vAlign w:val="center"/>
          </w:tcPr>
          <w:p w14:paraId="77CFAF8C">
            <w:pPr>
              <w:spacing w:after="0" w:line="240" w:lineRule="auto"/>
              <w:rPr>
                <w:lang w:eastAsia="zh-CN"/>
              </w:rPr>
            </w:pPr>
            <w:r>
              <w:rPr>
                <w:rFonts w:hint="eastAsia"/>
                <w:color w:val="000000"/>
                <w:sz w:val="21"/>
                <w:lang w:eastAsia="zh-CN"/>
              </w:rPr>
              <w:t>大模型训练、超算、持续计算，以及安防告警、实时质检等刚性实时任务</w:t>
            </w:r>
          </w:p>
        </w:tc>
        <w:tc>
          <w:tcPr>
            <w:tcW w:w="3515" w:type="dxa"/>
            <w:tcBorders>
              <w:top w:val="nil"/>
              <w:left w:val="nil"/>
              <w:bottom w:val="nil"/>
              <w:right w:val="nil"/>
            </w:tcBorders>
            <w:tcMar>
              <w:top w:w="80" w:type="dxa"/>
              <w:left w:w="90" w:type="dxa"/>
              <w:bottom w:w="80" w:type="dxa"/>
              <w:right w:w="90" w:type="dxa"/>
            </w:tcMar>
            <w:vAlign w:val="center"/>
          </w:tcPr>
          <w:p w14:paraId="758E8358">
            <w:pPr>
              <w:spacing w:after="0" w:line="240" w:lineRule="auto"/>
              <w:rPr>
                <w:lang w:eastAsia="zh-CN"/>
              </w:rPr>
            </w:pPr>
            <w:r>
              <w:rPr>
                <w:rFonts w:hint="eastAsia"/>
                <w:color w:val="000000"/>
                <w:sz w:val="21"/>
                <w:lang w:eastAsia="zh-CN"/>
              </w:rPr>
              <w:t>弹性工业质检、批量农业识别、巡检数据处理、温冷数据归档等可延迟、可迁移任务</w:t>
            </w:r>
          </w:p>
        </w:tc>
      </w:tr>
      <w:tr w14:paraId="01FC944B">
        <w:tblPrEx>
          <w:tblCellMar>
            <w:top w:w="0" w:type="dxa"/>
            <w:left w:w="108" w:type="dxa"/>
            <w:bottom w:w="0" w:type="dxa"/>
            <w:right w:w="108" w:type="dxa"/>
          </w:tblCellMar>
        </w:tblPrEx>
        <w:trPr>
          <w:jc w:val="center"/>
        </w:trPr>
        <w:tc>
          <w:tcPr>
            <w:tcW w:w="1701" w:type="dxa"/>
            <w:tcBorders>
              <w:top w:val="nil"/>
              <w:left w:val="nil"/>
              <w:bottom w:val="single" w:color="000000" w:sz="12" w:space="0"/>
              <w:right w:val="nil"/>
            </w:tcBorders>
            <w:tcMar>
              <w:top w:w="80" w:type="dxa"/>
              <w:left w:w="90" w:type="dxa"/>
              <w:bottom w:w="80" w:type="dxa"/>
              <w:right w:w="90" w:type="dxa"/>
            </w:tcMar>
            <w:vAlign w:val="center"/>
          </w:tcPr>
          <w:p w14:paraId="163EC126">
            <w:pPr>
              <w:spacing w:after="0" w:line="240" w:lineRule="auto"/>
              <w:jc w:val="center"/>
            </w:pPr>
            <w:r>
              <w:rPr>
                <w:color w:val="000000"/>
                <w:sz w:val="21"/>
              </w:rPr>
              <w:t>核心价值</w:t>
            </w:r>
          </w:p>
        </w:tc>
        <w:tc>
          <w:tcPr>
            <w:tcW w:w="3288" w:type="dxa"/>
            <w:tcBorders>
              <w:top w:val="nil"/>
              <w:left w:val="nil"/>
              <w:bottom w:val="single" w:color="000000" w:sz="12" w:space="0"/>
              <w:right w:val="nil"/>
            </w:tcBorders>
            <w:tcMar>
              <w:top w:w="80" w:type="dxa"/>
              <w:left w:w="90" w:type="dxa"/>
              <w:bottom w:w="80" w:type="dxa"/>
              <w:right w:w="90" w:type="dxa"/>
            </w:tcMar>
            <w:vAlign w:val="center"/>
          </w:tcPr>
          <w:p w14:paraId="008494DE">
            <w:pPr>
              <w:spacing w:after="0" w:line="240" w:lineRule="auto"/>
              <w:rPr>
                <w:lang w:eastAsia="zh-CN"/>
              </w:rPr>
            </w:pPr>
            <w:r>
              <w:rPr>
                <w:rFonts w:hint="eastAsia"/>
                <w:color w:val="000000"/>
                <w:sz w:val="21"/>
                <w:lang w:eastAsia="zh-CN"/>
              </w:rPr>
              <w:t>支撑高可靠、高连续的集中式数字基础设施</w:t>
            </w:r>
          </w:p>
        </w:tc>
        <w:tc>
          <w:tcPr>
            <w:tcW w:w="3515" w:type="dxa"/>
            <w:tcBorders>
              <w:top w:val="nil"/>
              <w:left w:val="nil"/>
              <w:bottom w:val="single" w:color="000000" w:sz="12" w:space="0"/>
              <w:right w:val="nil"/>
            </w:tcBorders>
            <w:tcMar>
              <w:top w:w="80" w:type="dxa"/>
              <w:left w:w="90" w:type="dxa"/>
              <w:bottom w:w="80" w:type="dxa"/>
              <w:right w:w="90" w:type="dxa"/>
            </w:tcMar>
            <w:vAlign w:val="center"/>
          </w:tcPr>
          <w:p w14:paraId="794FB5C1">
            <w:pPr>
              <w:spacing w:after="0" w:line="240" w:lineRule="auto"/>
              <w:rPr>
                <w:lang w:eastAsia="zh-CN"/>
              </w:rPr>
            </w:pPr>
            <w:r>
              <w:rPr>
                <w:color w:val="000000"/>
                <w:sz w:val="21"/>
                <w:lang w:eastAsia="zh-CN"/>
              </w:rPr>
              <w:t>促进绿电利用与县域低碳AI服务协同</w:t>
            </w:r>
          </w:p>
        </w:tc>
      </w:tr>
    </w:tbl>
    <w:p w14:paraId="51D1C4E8">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rPr>
          <w:color w:val="000000"/>
        </w:rPr>
        <w:t>由表1-</w:t>
      </w:r>
      <w:r>
        <w:rPr>
          <w:rFonts w:hint="eastAsia"/>
          <w:color w:val="000000"/>
          <w:lang w:val="en-US" w:eastAsia="zh-CN"/>
        </w:rPr>
        <w:t>1</w:t>
      </w:r>
      <w:r>
        <w:rPr>
          <w:color w:val="000000"/>
        </w:rPr>
        <w:t>可见，传统“电随算走”模式主要面向大规模、连续性、高稳定性的集中式计算需求，算力负荷通常具有较强刚性，电力系统主要承担稳定供电和容量保障功能。相比之下，“算随电走”更适用于县域轻量化AI推理、工业质检、能源巡检和温冷数据处理等任务结构较为分散、调度弹性较强的场景。其运行重点在于识别可调度任务负荷，并在不影响刚性任务可靠性的前提下，引导弹性任务和温冷任务优先匹配本地绿电出力。</w:t>
      </w:r>
    </w:p>
    <w:p w14:paraId="777BD2F2">
      <w:pPr>
        <w:pStyle w:val="30"/>
        <w:shd w:val="clear" w:color="auto" w:fill="FFFFFF"/>
        <w:spacing w:beforeAutospacing="0" w:afterAutospacing="0" w:line="360" w:lineRule="auto"/>
        <w:ind w:firstLine="480" w:firstLineChars="200"/>
        <w:jc w:val="both"/>
        <w:rPr>
          <w:rFonts w:hint="eastAsia" w:ascii="宋体" w:hAnsi="宋体" w:cs="宋体"/>
          <w:color w:val="0F1115"/>
          <w:szCs w:val="24"/>
          <w:shd w:val="clear" w:color="auto" w:fill="FFFFFF"/>
        </w:rPr>
      </w:pPr>
      <w:r>
        <w:t>需要指出的是，“算随电走”并不意味着所有算力任务均可随绿电波动自由调整。安防监控、设备告警、关键能源运维等刚性任务仍需优先保障，电网补充供电和储能协同仍是维持系统可靠运行的重要条件。因此，该机制的适用边界主要取决于可迁移、可延迟和可弹性调度任务的占比，以及县域绿电预测、储能配置、电网接入和任务调度能力是否能够形成协同。后续模型仿真部分将进一步围绕绿电消纳率、弃电率、系统运行成本、碳排放量和任务完成率等指标，对该机制的运行效果进行定量验证[8]。</w:t>
      </w:r>
    </w:p>
    <w:p w14:paraId="64587683">
      <w:pPr>
        <w:keepNext/>
        <w:spacing w:before="160" w:after="120" w:line="288" w:lineRule="auto"/>
        <w:rPr>
          <w:rFonts w:hint="eastAsia" w:ascii="黑体" w:hAnsi="黑体" w:eastAsia="黑体" w:cs="黑体"/>
          <w:b/>
          <w:bCs/>
          <w:sz w:val="32"/>
          <w:szCs w:val="32"/>
          <w:lang w:eastAsia="zh-CN"/>
        </w:rPr>
      </w:pPr>
      <w:r>
        <w:rPr>
          <w:rFonts w:eastAsia="黑体"/>
          <w:b/>
          <w:color w:val="000000"/>
          <w:sz w:val="30"/>
          <w:lang w:eastAsia="zh-CN"/>
        </w:rPr>
        <w:t>1.3 县域算电协同边缘算力产业定义与内涵</w:t>
      </w:r>
    </w:p>
    <w:p w14:paraId="30C76F4F">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t>县域算电协同边缘算力产业，是指在具备分布式绿电资源、电网接入条件、通信网络基础和本地产业智能化需求的县域，布局适度规模边缘算力节点，并通过绿电预测、算力任务调度、储能协同和电—算—碳优化，使部分可迁移、可延迟、可弹性调度的算力任务主动匹配本地绿电出力，在提升绿电就地利用能力的同时，为县域工业、农业、能源运维和公共治理等场景提供低碳、低时延、可负担的轻量化AI服务[9][10]。</w:t>
      </w:r>
    </w:p>
    <w:p w14:paraId="6E05FCDE">
      <w:pPr>
        <w:pStyle w:val="30"/>
        <w:shd w:val="clear" w:color="auto" w:fill="FFFFFF"/>
        <w:spacing w:beforeAutospacing="0" w:afterAutospacing="0" w:line="360" w:lineRule="auto"/>
        <w:ind w:firstLine="480" w:firstLineChars="200"/>
        <w:jc w:val="both"/>
        <w:rPr>
          <w:rFonts w:hint="eastAsia" w:ascii="宋体" w:hAnsi="宋体" w:cs="宋体"/>
          <w:color w:val="0F1115"/>
          <w:szCs w:val="24"/>
          <w:shd w:val="clear" w:color="auto" w:fill="FFFFFF"/>
        </w:rPr>
      </w:pPr>
      <w:r>
        <w:t>其中，“源网荷储算碳”是完整的协同体系：“源”指分布式光伏、小水电等本地绿电电源；“网”指县域配电网与电力调度网络；“荷”指算力负荷与县域其他用电负荷；“储”指电化学储能等储能资源；“算”主要指边缘算力节点、AI任务负荷、算力资源利用率、任务时延和服务质量；“碳”主要指电力消费对应的碳排放强度、单位算力碳排放、绿电使用比例、碳核算和绿色算力认证等低碳评价要素。因此，源网荷储算碳协同优化并不是单纯降低用电量，而是在满足任务可靠性和服务质量的前提下，统筹电源、电网、负荷、储能多侧资源，实现绿电利用、算力运行和碳排放表现的全局最优[4][8]。</w:t>
      </w:r>
    </w:p>
    <w:p w14:paraId="76C2C250">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rPr>
          <w:color w:val="000000"/>
        </w:rPr>
        <w:t>为系统界定该产业的内涵与外延，表1-</w:t>
      </w:r>
      <w:r>
        <w:rPr>
          <w:rFonts w:hint="eastAsia"/>
          <w:color w:val="000000"/>
          <w:lang w:val="en-US" w:eastAsia="zh-CN"/>
        </w:rPr>
        <w:t>2</w:t>
      </w:r>
      <w:r>
        <w:rPr>
          <w:color w:val="000000"/>
        </w:rPr>
        <w:t>从空间边界、资源基础、核心机制、技术支撑、服务对象和产业目标六个维度进行解构。</w:t>
      </w:r>
    </w:p>
    <w:p w14:paraId="28A56608">
      <w:pPr>
        <w:keepNext/>
        <w:spacing w:before="80" w:after="40" w:line="240" w:lineRule="auto"/>
        <w:jc w:val="center"/>
        <w:rPr>
          <w:lang w:eastAsia="zh-CN"/>
        </w:rPr>
      </w:pPr>
      <w:r>
        <w:rPr>
          <w:b/>
          <w:color w:val="000000"/>
          <w:sz w:val="21"/>
          <w:lang w:eastAsia="zh-CN"/>
        </w:rPr>
        <w:t>表1-</w:t>
      </w:r>
      <w:r>
        <w:rPr>
          <w:rFonts w:hint="eastAsia"/>
          <w:b/>
          <w:color w:val="000000"/>
          <w:sz w:val="21"/>
          <w:lang w:val="en-US" w:eastAsia="zh-CN"/>
        </w:rPr>
        <w:t>2</w:t>
      </w:r>
      <w:r>
        <w:rPr>
          <w:b/>
          <w:color w:val="000000"/>
          <w:sz w:val="21"/>
          <w:lang w:eastAsia="zh-CN"/>
        </w:rPr>
        <w:t xml:space="preserve"> 县域算电协同边缘算力产业定义解构</w:t>
      </w:r>
    </w:p>
    <w:tbl>
      <w:tblPr>
        <w:tblStyle w:val="33"/>
        <w:tblW w:w="0" w:type="auto"/>
        <w:jc w:val="center"/>
        <w:tblLayout w:type="autofit"/>
        <w:tblCellMar>
          <w:top w:w="0" w:type="dxa"/>
          <w:left w:w="108" w:type="dxa"/>
          <w:bottom w:w="0" w:type="dxa"/>
          <w:right w:w="108" w:type="dxa"/>
        </w:tblCellMar>
      </w:tblPr>
      <w:tblGrid>
        <w:gridCol w:w="1474"/>
        <w:gridCol w:w="4082"/>
        <w:gridCol w:w="2948"/>
      </w:tblGrid>
      <w:tr w14:paraId="5BB1DA8C">
        <w:tblPrEx>
          <w:tblCellMar>
            <w:top w:w="0" w:type="dxa"/>
            <w:left w:w="108" w:type="dxa"/>
            <w:bottom w:w="0" w:type="dxa"/>
            <w:right w:w="108" w:type="dxa"/>
          </w:tblCellMar>
        </w:tblPrEx>
        <w:trPr>
          <w:tblHeader/>
          <w:jc w:val="center"/>
        </w:trPr>
        <w:tc>
          <w:tcPr>
            <w:tcW w:w="1474"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6C481B31">
            <w:pPr>
              <w:spacing w:after="0" w:line="240" w:lineRule="auto"/>
              <w:jc w:val="center"/>
            </w:pPr>
            <w:r>
              <w:rPr>
                <w:b/>
                <w:color w:val="000000"/>
                <w:sz w:val="21"/>
              </w:rPr>
              <w:t>维度</w:t>
            </w:r>
          </w:p>
        </w:tc>
        <w:tc>
          <w:tcPr>
            <w:tcW w:w="4082"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25482249">
            <w:pPr>
              <w:spacing w:after="0" w:line="240" w:lineRule="auto"/>
              <w:jc w:val="center"/>
            </w:pPr>
            <w:r>
              <w:rPr>
                <w:b/>
                <w:color w:val="000000"/>
                <w:sz w:val="21"/>
              </w:rPr>
              <w:t>核心内涵</w:t>
            </w:r>
          </w:p>
        </w:tc>
        <w:tc>
          <w:tcPr>
            <w:tcW w:w="2948"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5B580B2E">
            <w:pPr>
              <w:spacing w:after="0" w:line="240" w:lineRule="auto"/>
              <w:jc w:val="center"/>
            </w:pPr>
            <w:r>
              <w:rPr>
                <w:b/>
                <w:color w:val="000000"/>
                <w:sz w:val="21"/>
              </w:rPr>
              <w:t>边界要求</w:t>
            </w:r>
          </w:p>
        </w:tc>
      </w:tr>
      <w:tr w14:paraId="34F95DB0">
        <w:tblPrEx>
          <w:tblCellMar>
            <w:top w:w="0" w:type="dxa"/>
            <w:left w:w="108" w:type="dxa"/>
            <w:bottom w:w="0" w:type="dxa"/>
            <w:right w:w="108" w:type="dxa"/>
          </w:tblCellMar>
        </w:tblPrEx>
        <w:trPr>
          <w:jc w:val="center"/>
        </w:trPr>
        <w:tc>
          <w:tcPr>
            <w:tcW w:w="1474" w:type="dxa"/>
            <w:tcBorders>
              <w:top w:val="nil"/>
              <w:left w:val="nil"/>
              <w:bottom w:val="nil"/>
              <w:right w:val="nil"/>
            </w:tcBorders>
            <w:tcMar>
              <w:top w:w="80" w:type="dxa"/>
              <w:left w:w="90" w:type="dxa"/>
              <w:bottom w:w="80" w:type="dxa"/>
              <w:right w:w="90" w:type="dxa"/>
            </w:tcMar>
            <w:vAlign w:val="center"/>
          </w:tcPr>
          <w:p w14:paraId="511A09D8">
            <w:pPr>
              <w:spacing w:after="0" w:line="240" w:lineRule="auto"/>
              <w:jc w:val="center"/>
            </w:pPr>
            <w:r>
              <w:rPr>
                <w:color w:val="000000"/>
                <w:sz w:val="21"/>
              </w:rPr>
              <w:t>空间边界</w:t>
            </w:r>
          </w:p>
        </w:tc>
        <w:tc>
          <w:tcPr>
            <w:tcW w:w="4082" w:type="dxa"/>
            <w:tcBorders>
              <w:top w:val="nil"/>
              <w:left w:val="nil"/>
              <w:bottom w:val="nil"/>
              <w:right w:val="nil"/>
            </w:tcBorders>
            <w:tcMar>
              <w:top w:w="80" w:type="dxa"/>
              <w:left w:w="90" w:type="dxa"/>
              <w:bottom w:w="80" w:type="dxa"/>
              <w:right w:w="90" w:type="dxa"/>
            </w:tcMar>
            <w:vAlign w:val="center"/>
          </w:tcPr>
          <w:p w14:paraId="6EF88D44">
            <w:pPr>
              <w:spacing w:after="0" w:line="240" w:lineRule="auto"/>
              <w:rPr>
                <w:lang w:eastAsia="zh-CN"/>
              </w:rPr>
            </w:pPr>
            <w:r>
              <w:rPr>
                <w:color w:val="000000"/>
                <w:sz w:val="21"/>
                <w:lang w:eastAsia="zh-CN"/>
              </w:rPr>
              <w:t>以县域为产业承载单元，强调源、网、荷、储、算在县域范围内的协同</w:t>
            </w:r>
          </w:p>
        </w:tc>
        <w:tc>
          <w:tcPr>
            <w:tcW w:w="2948" w:type="dxa"/>
            <w:tcBorders>
              <w:top w:val="nil"/>
              <w:left w:val="nil"/>
              <w:bottom w:val="nil"/>
              <w:right w:val="nil"/>
            </w:tcBorders>
            <w:tcMar>
              <w:top w:w="80" w:type="dxa"/>
              <w:left w:w="90" w:type="dxa"/>
              <w:bottom w:w="80" w:type="dxa"/>
              <w:right w:w="90" w:type="dxa"/>
            </w:tcMar>
            <w:vAlign w:val="center"/>
          </w:tcPr>
          <w:p w14:paraId="505055D3">
            <w:pPr>
              <w:spacing w:after="0" w:line="240" w:lineRule="auto"/>
              <w:rPr>
                <w:lang w:eastAsia="zh-CN"/>
              </w:rPr>
            </w:pPr>
            <w:r>
              <w:rPr>
                <w:color w:val="000000"/>
                <w:sz w:val="21"/>
                <w:lang w:eastAsia="zh-CN"/>
              </w:rPr>
              <w:t>不等同于大型集中式数据中心</w:t>
            </w:r>
          </w:p>
        </w:tc>
      </w:tr>
      <w:tr w14:paraId="64D72D3A">
        <w:tblPrEx>
          <w:tblCellMar>
            <w:top w:w="0" w:type="dxa"/>
            <w:left w:w="108" w:type="dxa"/>
            <w:bottom w:w="0" w:type="dxa"/>
            <w:right w:w="108" w:type="dxa"/>
          </w:tblCellMar>
        </w:tblPrEx>
        <w:trPr>
          <w:jc w:val="center"/>
        </w:trPr>
        <w:tc>
          <w:tcPr>
            <w:tcW w:w="1474" w:type="dxa"/>
            <w:tcBorders>
              <w:top w:val="nil"/>
              <w:left w:val="nil"/>
              <w:bottom w:val="nil"/>
              <w:right w:val="nil"/>
            </w:tcBorders>
            <w:tcMar>
              <w:top w:w="80" w:type="dxa"/>
              <w:left w:w="90" w:type="dxa"/>
              <w:bottom w:w="80" w:type="dxa"/>
              <w:right w:w="90" w:type="dxa"/>
            </w:tcMar>
            <w:vAlign w:val="center"/>
          </w:tcPr>
          <w:p w14:paraId="5D8C0134">
            <w:pPr>
              <w:spacing w:after="0" w:line="240" w:lineRule="auto"/>
              <w:jc w:val="center"/>
            </w:pPr>
            <w:r>
              <w:rPr>
                <w:color w:val="000000"/>
                <w:sz w:val="21"/>
              </w:rPr>
              <w:t>资源基础</w:t>
            </w:r>
          </w:p>
        </w:tc>
        <w:tc>
          <w:tcPr>
            <w:tcW w:w="4082" w:type="dxa"/>
            <w:tcBorders>
              <w:top w:val="nil"/>
              <w:left w:val="nil"/>
              <w:bottom w:val="nil"/>
              <w:right w:val="nil"/>
            </w:tcBorders>
            <w:tcMar>
              <w:top w:w="80" w:type="dxa"/>
              <w:left w:w="90" w:type="dxa"/>
              <w:bottom w:w="80" w:type="dxa"/>
              <w:right w:w="90" w:type="dxa"/>
            </w:tcMar>
            <w:vAlign w:val="center"/>
          </w:tcPr>
          <w:p w14:paraId="5F1700AE">
            <w:pPr>
              <w:spacing w:after="0" w:line="240" w:lineRule="auto"/>
              <w:rPr>
                <w:lang w:eastAsia="zh-CN"/>
              </w:rPr>
            </w:pPr>
            <w:r>
              <w:rPr>
                <w:color w:val="000000"/>
                <w:sz w:val="21"/>
                <w:lang w:eastAsia="zh-CN"/>
              </w:rPr>
              <w:t>依托分布式光伏、小水电、风电、生物质等绿电资源及必要电网接入条件</w:t>
            </w:r>
          </w:p>
        </w:tc>
        <w:tc>
          <w:tcPr>
            <w:tcW w:w="2948" w:type="dxa"/>
            <w:tcBorders>
              <w:top w:val="nil"/>
              <w:left w:val="nil"/>
              <w:bottom w:val="nil"/>
              <w:right w:val="nil"/>
            </w:tcBorders>
            <w:tcMar>
              <w:top w:w="80" w:type="dxa"/>
              <w:left w:w="90" w:type="dxa"/>
              <w:bottom w:w="80" w:type="dxa"/>
              <w:right w:w="90" w:type="dxa"/>
            </w:tcMar>
            <w:vAlign w:val="center"/>
          </w:tcPr>
          <w:p w14:paraId="1081F66B">
            <w:pPr>
              <w:spacing w:after="0" w:line="240" w:lineRule="auto"/>
              <w:rPr>
                <w:lang w:eastAsia="zh-CN"/>
              </w:rPr>
            </w:pPr>
            <w:r>
              <w:rPr>
                <w:color w:val="000000"/>
                <w:sz w:val="21"/>
                <w:lang w:eastAsia="zh-CN"/>
              </w:rPr>
              <w:t>不</w:t>
            </w:r>
            <w:r>
              <w:rPr>
                <w:rFonts w:hint="eastAsia"/>
                <w:color w:val="000000"/>
                <w:sz w:val="21"/>
                <w:lang w:eastAsia="zh-CN"/>
              </w:rPr>
              <w:t>能</w:t>
            </w:r>
            <w:r>
              <w:rPr>
                <w:color w:val="000000"/>
                <w:sz w:val="21"/>
                <w:lang w:eastAsia="zh-CN"/>
              </w:rPr>
              <w:t>仅以年度绿电总量判断适配性</w:t>
            </w:r>
          </w:p>
        </w:tc>
      </w:tr>
      <w:tr w14:paraId="557EA158">
        <w:tblPrEx>
          <w:tblCellMar>
            <w:top w:w="0" w:type="dxa"/>
            <w:left w:w="108" w:type="dxa"/>
            <w:bottom w:w="0" w:type="dxa"/>
            <w:right w:w="108" w:type="dxa"/>
          </w:tblCellMar>
        </w:tblPrEx>
        <w:trPr>
          <w:jc w:val="center"/>
        </w:trPr>
        <w:tc>
          <w:tcPr>
            <w:tcW w:w="1474" w:type="dxa"/>
            <w:tcBorders>
              <w:top w:val="nil"/>
              <w:left w:val="nil"/>
              <w:bottom w:val="nil"/>
              <w:right w:val="nil"/>
            </w:tcBorders>
            <w:tcMar>
              <w:top w:w="80" w:type="dxa"/>
              <w:left w:w="90" w:type="dxa"/>
              <w:bottom w:w="80" w:type="dxa"/>
              <w:right w:w="90" w:type="dxa"/>
            </w:tcMar>
            <w:vAlign w:val="center"/>
          </w:tcPr>
          <w:p w14:paraId="2DEEF96A">
            <w:pPr>
              <w:spacing w:after="0" w:line="240" w:lineRule="auto"/>
              <w:jc w:val="center"/>
            </w:pPr>
            <w:r>
              <w:rPr>
                <w:color w:val="000000"/>
                <w:sz w:val="21"/>
              </w:rPr>
              <w:t>核心机制</w:t>
            </w:r>
          </w:p>
        </w:tc>
        <w:tc>
          <w:tcPr>
            <w:tcW w:w="4082" w:type="dxa"/>
            <w:tcBorders>
              <w:top w:val="nil"/>
              <w:left w:val="nil"/>
              <w:bottom w:val="nil"/>
              <w:right w:val="nil"/>
            </w:tcBorders>
            <w:tcMar>
              <w:top w:w="80" w:type="dxa"/>
              <w:left w:w="90" w:type="dxa"/>
              <w:bottom w:w="80" w:type="dxa"/>
              <w:right w:w="90" w:type="dxa"/>
            </w:tcMar>
            <w:vAlign w:val="center"/>
          </w:tcPr>
          <w:p w14:paraId="43E32E33">
            <w:pPr>
              <w:spacing w:after="0" w:line="240" w:lineRule="auto"/>
              <w:rPr>
                <w:lang w:eastAsia="zh-CN"/>
              </w:rPr>
            </w:pPr>
            <w:r>
              <w:rPr>
                <w:color w:val="000000"/>
                <w:sz w:val="21"/>
                <w:lang w:eastAsia="zh-CN"/>
              </w:rPr>
              <w:t>以</w:t>
            </w:r>
            <w:r>
              <w:rPr>
                <w:rFonts w:hint="eastAsia"/>
                <w:color w:val="000000"/>
                <w:sz w:val="21"/>
                <w:lang w:eastAsia="zh-CN"/>
              </w:rPr>
              <w:t>“</w:t>
            </w:r>
            <w:r>
              <w:rPr>
                <w:color w:val="000000"/>
                <w:sz w:val="21"/>
                <w:lang w:eastAsia="zh-CN"/>
              </w:rPr>
              <w:t>算随电走</w:t>
            </w:r>
            <w:r>
              <w:rPr>
                <w:rFonts w:hint="eastAsia"/>
                <w:color w:val="000000"/>
                <w:sz w:val="21"/>
                <w:lang w:eastAsia="zh-CN"/>
              </w:rPr>
              <w:t>”</w:t>
            </w:r>
            <w:r>
              <w:rPr>
                <w:color w:val="000000"/>
                <w:sz w:val="21"/>
                <w:lang w:eastAsia="zh-CN"/>
              </w:rPr>
              <w:t>为核心，使弹性算力任务匹配绿电时序变化</w:t>
            </w:r>
          </w:p>
        </w:tc>
        <w:tc>
          <w:tcPr>
            <w:tcW w:w="2948" w:type="dxa"/>
            <w:tcBorders>
              <w:top w:val="nil"/>
              <w:left w:val="nil"/>
              <w:bottom w:val="nil"/>
              <w:right w:val="nil"/>
            </w:tcBorders>
            <w:tcMar>
              <w:top w:w="80" w:type="dxa"/>
              <w:left w:w="90" w:type="dxa"/>
              <w:bottom w:w="80" w:type="dxa"/>
              <w:right w:w="90" w:type="dxa"/>
            </w:tcMar>
            <w:vAlign w:val="center"/>
          </w:tcPr>
          <w:p w14:paraId="7D703A6F">
            <w:pPr>
              <w:spacing w:after="0" w:line="240" w:lineRule="auto"/>
              <w:jc w:val="center"/>
              <w:rPr>
                <w:lang w:eastAsia="zh-CN"/>
              </w:rPr>
            </w:pPr>
            <w:r>
              <w:rPr>
                <w:color w:val="000000"/>
                <w:sz w:val="21"/>
                <w:lang w:eastAsia="zh-CN"/>
              </w:rPr>
              <w:t>刚性任务仍需优先保障</w:t>
            </w:r>
          </w:p>
        </w:tc>
      </w:tr>
      <w:tr w14:paraId="4642B365">
        <w:tblPrEx>
          <w:tblCellMar>
            <w:top w:w="0" w:type="dxa"/>
            <w:left w:w="108" w:type="dxa"/>
            <w:bottom w:w="0" w:type="dxa"/>
            <w:right w:w="108" w:type="dxa"/>
          </w:tblCellMar>
        </w:tblPrEx>
        <w:trPr>
          <w:jc w:val="center"/>
        </w:trPr>
        <w:tc>
          <w:tcPr>
            <w:tcW w:w="1474" w:type="dxa"/>
            <w:tcBorders>
              <w:top w:val="nil"/>
              <w:left w:val="nil"/>
              <w:bottom w:val="nil"/>
              <w:right w:val="nil"/>
            </w:tcBorders>
            <w:tcMar>
              <w:top w:w="80" w:type="dxa"/>
              <w:left w:w="90" w:type="dxa"/>
              <w:bottom w:w="80" w:type="dxa"/>
              <w:right w:w="90" w:type="dxa"/>
            </w:tcMar>
            <w:vAlign w:val="center"/>
          </w:tcPr>
          <w:p w14:paraId="760091E5">
            <w:pPr>
              <w:spacing w:after="0" w:line="240" w:lineRule="auto"/>
              <w:jc w:val="center"/>
            </w:pPr>
            <w:r>
              <w:rPr>
                <w:color w:val="000000"/>
                <w:sz w:val="21"/>
              </w:rPr>
              <w:t>技术支撑</w:t>
            </w:r>
          </w:p>
        </w:tc>
        <w:tc>
          <w:tcPr>
            <w:tcW w:w="4082" w:type="dxa"/>
            <w:tcBorders>
              <w:top w:val="nil"/>
              <w:left w:val="nil"/>
              <w:bottom w:val="nil"/>
              <w:right w:val="nil"/>
            </w:tcBorders>
            <w:tcMar>
              <w:top w:w="80" w:type="dxa"/>
              <w:left w:w="90" w:type="dxa"/>
              <w:bottom w:w="80" w:type="dxa"/>
              <w:right w:w="90" w:type="dxa"/>
            </w:tcMar>
            <w:vAlign w:val="center"/>
          </w:tcPr>
          <w:p w14:paraId="0EE9F1BC">
            <w:pPr>
              <w:spacing w:after="0" w:line="240" w:lineRule="auto"/>
              <w:rPr>
                <w:lang w:eastAsia="zh-CN"/>
              </w:rPr>
            </w:pPr>
            <w:r>
              <w:rPr>
                <w:color w:val="000000"/>
                <w:sz w:val="21"/>
                <w:lang w:eastAsia="zh-CN"/>
              </w:rPr>
              <w:t>绿电预测、任务调度、储能协同和电-算-碳优化形成闭环</w:t>
            </w:r>
          </w:p>
        </w:tc>
        <w:tc>
          <w:tcPr>
            <w:tcW w:w="2948" w:type="dxa"/>
            <w:tcBorders>
              <w:top w:val="nil"/>
              <w:left w:val="nil"/>
              <w:bottom w:val="nil"/>
              <w:right w:val="nil"/>
            </w:tcBorders>
            <w:tcMar>
              <w:top w:w="80" w:type="dxa"/>
              <w:left w:w="90" w:type="dxa"/>
              <w:bottom w:w="80" w:type="dxa"/>
              <w:right w:w="90" w:type="dxa"/>
            </w:tcMar>
            <w:vAlign w:val="center"/>
          </w:tcPr>
          <w:p w14:paraId="3FEB705F">
            <w:pPr>
              <w:spacing w:after="0" w:line="240" w:lineRule="auto"/>
              <w:rPr>
                <w:highlight w:val="yellow"/>
                <w:lang w:eastAsia="zh-CN"/>
              </w:rPr>
            </w:pPr>
            <w:r>
              <w:rPr>
                <w:rFonts w:cs="Segoe UI"/>
                <w:color w:val="000000"/>
                <w:sz w:val="21"/>
                <w:szCs w:val="18"/>
                <w:shd w:val="clear" w:color="auto" w:fill="FFFFFF"/>
                <w:lang w:eastAsia="zh-CN"/>
              </w:rPr>
              <w:t>本节界定各项技术的功能定位与模块间逻辑关系，不包括具体模型参数设定与求解算法实现</w:t>
            </w:r>
          </w:p>
        </w:tc>
      </w:tr>
      <w:tr w14:paraId="35F19BD2">
        <w:tblPrEx>
          <w:tblCellMar>
            <w:top w:w="0" w:type="dxa"/>
            <w:left w:w="108" w:type="dxa"/>
            <w:bottom w:w="0" w:type="dxa"/>
            <w:right w:w="108" w:type="dxa"/>
          </w:tblCellMar>
        </w:tblPrEx>
        <w:trPr>
          <w:jc w:val="center"/>
        </w:trPr>
        <w:tc>
          <w:tcPr>
            <w:tcW w:w="1474" w:type="dxa"/>
            <w:tcBorders>
              <w:top w:val="nil"/>
              <w:left w:val="nil"/>
              <w:bottom w:val="nil"/>
              <w:right w:val="nil"/>
            </w:tcBorders>
            <w:tcMar>
              <w:top w:w="80" w:type="dxa"/>
              <w:left w:w="90" w:type="dxa"/>
              <w:bottom w:w="80" w:type="dxa"/>
              <w:right w:w="90" w:type="dxa"/>
            </w:tcMar>
            <w:vAlign w:val="center"/>
          </w:tcPr>
          <w:p w14:paraId="07E8FD17">
            <w:pPr>
              <w:spacing w:after="0" w:line="240" w:lineRule="auto"/>
              <w:jc w:val="center"/>
            </w:pPr>
            <w:r>
              <w:rPr>
                <w:color w:val="000000"/>
                <w:sz w:val="21"/>
              </w:rPr>
              <w:t>服务对象</w:t>
            </w:r>
          </w:p>
        </w:tc>
        <w:tc>
          <w:tcPr>
            <w:tcW w:w="4082" w:type="dxa"/>
            <w:tcBorders>
              <w:top w:val="nil"/>
              <w:left w:val="nil"/>
              <w:bottom w:val="nil"/>
              <w:right w:val="nil"/>
            </w:tcBorders>
            <w:tcMar>
              <w:top w:w="80" w:type="dxa"/>
              <w:left w:w="90" w:type="dxa"/>
              <w:bottom w:w="80" w:type="dxa"/>
              <w:right w:w="90" w:type="dxa"/>
            </w:tcMar>
            <w:vAlign w:val="center"/>
          </w:tcPr>
          <w:p w14:paraId="10421534">
            <w:pPr>
              <w:spacing w:after="0" w:line="240" w:lineRule="auto"/>
              <w:rPr>
                <w:lang w:eastAsia="zh-CN"/>
              </w:rPr>
            </w:pPr>
            <w:r>
              <w:rPr>
                <w:color w:val="000000"/>
                <w:sz w:val="21"/>
                <w:lang w:eastAsia="zh-CN"/>
              </w:rPr>
              <w:t>面向县域企业、园区、能源站点和公共治理场景提供轻量化AI服务</w:t>
            </w:r>
          </w:p>
        </w:tc>
        <w:tc>
          <w:tcPr>
            <w:tcW w:w="2948" w:type="dxa"/>
            <w:tcBorders>
              <w:top w:val="nil"/>
              <w:left w:val="nil"/>
              <w:bottom w:val="nil"/>
              <w:right w:val="nil"/>
            </w:tcBorders>
            <w:tcMar>
              <w:top w:w="80" w:type="dxa"/>
              <w:left w:w="90" w:type="dxa"/>
              <w:bottom w:w="80" w:type="dxa"/>
              <w:right w:w="90" w:type="dxa"/>
            </w:tcMar>
            <w:vAlign w:val="center"/>
          </w:tcPr>
          <w:p w14:paraId="5234280F">
            <w:pPr>
              <w:spacing w:after="0" w:line="240" w:lineRule="auto"/>
              <w:rPr>
                <w:lang w:eastAsia="zh-CN"/>
              </w:rPr>
            </w:pPr>
            <w:r>
              <w:rPr>
                <w:color w:val="000000"/>
                <w:sz w:val="21"/>
                <w:lang w:eastAsia="zh-CN"/>
              </w:rPr>
              <w:t>以真实应用需求为前提，避免算力空转</w:t>
            </w:r>
          </w:p>
        </w:tc>
      </w:tr>
      <w:tr w14:paraId="3CE0582D">
        <w:tblPrEx>
          <w:tblCellMar>
            <w:top w:w="0" w:type="dxa"/>
            <w:left w:w="108" w:type="dxa"/>
            <w:bottom w:w="0" w:type="dxa"/>
            <w:right w:w="108" w:type="dxa"/>
          </w:tblCellMar>
        </w:tblPrEx>
        <w:trPr>
          <w:jc w:val="center"/>
        </w:trPr>
        <w:tc>
          <w:tcPr>
            <w:tcW w:w="1474" w:type="dxa"/>
            <w:tcBorders>
              <w:top w:val="nil"/>
              <w:left w:val="nil"/>
              <w:bottom w:val="single" w:color="000000" w:sz="12" w:space="0"/>
              <w:right w:val="nil"/>
            </w:tcBorders>
            <w:tcMar>
              <w:top w:w="80" w:type="dxa"/>
              <w:left w:w="90" w:type="dxa"/>
              <w:bottom w:w="80" w:type="dxa"/>
              <w:right w:w="90" w:type="dxa"/>
            </w:tcMar>
            <w:vAlign w:val="center"/>
          </w:tcPr>
          <w:p w14:paraId="10F38F00">
            <w:pPr>
              <w:spacing w:after="0" w:line="240" w:lineRule="auto"/>
              <w:jc w:val="center"/>
            </w:pPr>
            <w:r>
              <w:rPr>
                <w:color w:val="000000"/>
                <w:sz w:val="21"/>
              </w:rPr>
              <w:t>产业目标</w:t>
            </w:r>
          </w:p>
        </w:tc>
        <w:tc>
          <w:tcPr>
            <w:tcW w:w="4082" w:type="dxa"/>
            <w:tcBorders>
              <w:top w:val="nil"/>
              <w:left w:val="nil"/>
              <w:bottom w:val="single" w:color="000000" w:sz="12" w:space="0"/>
              <w:right w:val="nil"/>
            </w:tcBorders>
            <w:tcMar>
              <w:top w:w="80" w:type="dxa"/>
              <w:left w:w="90" w:type="dxa"/>
              <w:bottom w:w="80" w:type="dxa"/>
              <w:right w:w="90" w:type="dxa"/>
            </w:tcMar>
            <w:vAlign w:val="center"/>
          </w:tcPr>
          <w:p w14:paraId="6AC19FF4">
            <w:pPr>
              <w:spacing w:after="0" w:line="240" w:lineRule="auto"/>
              <w:rPr>
                <w:lang w:eastAsia="zh-CN"/>
              </w:rPr>
            </w:pPr>
            <w:r>
              <w:rPr>
                <w:color w:val="000000"/>
                <w:sz w:val="21"/>
                <w:lang w:eastAsia="zh-CN"/>
              </w:rPr>
              <w:t>促进绿电就地利用、降低单位算力碳强度、支撑县域产业数字化升级</w:t>
            </w:r>
          </w:p>
        </w:tc>
        <w:tc>
          <w:tcPr>
            <w:tcW w:w="2948" w:type="dxa"/>
            <w:tcBorders>
              <w:top w:val="nil"/>
              <w:left w:val="nil"/>
              <w:bottom w:val="single" w:color="000000" w:sz="12" w:space="0"/>
              <w:right w:val="nil"/>
            </w:tcBorders>
            <w:tcMar>
              <w:top w:w="80" w:type="dxa"/>
              <w:left w:w="90" w:type="dxa"/>
              <w:bottom w:w="80" w:type="dxa"/>
              <w:right w:w="90" w:type="dxa"/>
            </w:tcMar>
            <w:vAlign w:val="center"/>
          </w:tcPr>
          <w:p w14:paraId="2122533F">
            <w:pPr>
              <w:spacing w:after="0" w:line="240" w:lineRule="auto"/>
              <w:rPr>
                <w:lang w:eastAsia="zh-CN"/>
              </w:rPr>
            </w:pPr>
            <w:r>
              <w:rPr>
                <w:color w:val="000000"/>
                <w:sz w:val="21"/>
                <w:lang w:eastAsia="zh-CN"/>
              </w:rPr>
              <w:t>具体效果需通过模型仿真验证</w:t>
            </w:r>
          </w:p>
        </w:tc>
      </w:tr>
    </w:tbl>
    <w:p w14:paraId="05A38A59">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rPr>
          <w:color w:val="000000"/>
        </w:rPr>
        <w:t>由表1-</w:t>
      </w:r>
      <w:r>
        <w:rPr>
          <w:rFonts w:hint="eastAsia"/>
          <w:color w:val="000000"/>
          <w:lang w:val="en-US" w:eastAsia="zh-CN"/>
        </w:rPr>
        <w:t>2</w:t>
      </w:r>
      <w:r>
        <w:rPr>
          <w:color w:val="000000"/>
        </w:rPr>
        <w:t>可见，该产业在空间上以县域为边界，在机制上以“算随电走”为核心，在技术上以电—算—碳优化为闭环，在目标上以绿电消纳、低碳算力和产业升级为三重价值导向。其中，空间边界明确了该产业与大型集中式算力枢纽的形态区别</w:t>
      </w:r>
      <w:r>
        <w:rPr>
          <w:rFonts w:hint="eastAsia"/>
          <w:color w:val="000000"/>
          <w:lang w:eastAsia="zh-CN"/>
        </w:rPr>
        <w:t>，</w:t>
      </w:r>
      <w:r>
        <w:rPr>
          <w:color w:val="000000"/>
        </w:rPr>
        <w:t>前者是分散、小规模、靠近负荷与能源现场的边缘节点，后者是集中、超大规模、靠近能源基地或核心城市的算力枢纽。需要说明的是，这种空间差异是产业场景的适配结果，而非“算随电走”与“电随算走”的机制本质差异，二者并非替代关系，而是国家算力网络中互补的层级。资源基础强调了时序匹配和接入能力的重要性，避免仅凭年度绿电总量判断县域适配性而忽略实际可调度能力。核心机制突出了“算随电走”的运行逻辑，同时明确刚性任务优先保障是前提条件，不能为追求绿电消纳而牺牲关键任务的可靠性。技术支撑由绿电预测、任务分级调度、储能协同、电—算—碳核算与优化五大模块构成，本节侧重各模块技术功能的界定及其逻辑关系的梳理，具体模型的参数设定与求解实现在后续章节中展开。</w:t>
      </w:r>
    </w:p>
    <w:p w14:paraId="6DFF1D32">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t>从任务属性看，县域边缘算力并不是将所有计算任务统一处理，而是需要按照时延要求、可靠性要求和可调度程度进行分级。刚性任务是指对实时性和可靠性要求高、不能随意推迟的任务，如安防监控、设备告警、关键能源运维和故障预警等，应优先保障算力和供电；弹性任务是指允许在一定时间窗口内调整执行时段的任务，如能耗分析、批量质检、农业图像识别和部分巡检数据处理等，可根据绿电出力和电价变化动态安排；温冷任务是指对实时性要求较低、可延后集中处理的历史数据分析、模型迭代、归档视频分析和周期性报表任务，适合安排在绿电富余或电价较低时段执行[9][10]。</w:t>
      </w:r>
    </w:p>
    <w:p w14:paraId="6F0FEF16">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t>因此，县域算电协同边缘算力的作用不是替代大型云计算中心，而是作为国家算力枢纽和大型云平台的县域侧补充，重点承接本地实时推理、本地数据处理、轻量化AI服务和温冷任务处理。大型云计算中心仍适合承担大模型训练、跨区域云服务和超大规模计算任务；县域边缘算力则更适合处理靠近生产现场、能源现场和治理现场的任务，从而减少数据远距离传输、降低时延，并为县域绿电消纳提供可调节负荷[3][9]。</w:t>
      </w:r>
    </w:p>
    <w:p w14:paraId="51541CCC">
      <w:pPr>
        <w:pStyle w:val="4"/>
        <w:keepLines w:val="0"/>
        <w:shd w:val="clear" w:color="auto" w:fill="FFFFFF"/>
        <w:spacing w:before="160" w:after="120" w:line="288" w:lineRule="auto"/>
        <w:rPr>
          <w:rFonts w:ascii="Segoe UI" w:hAnsi="Segoe UI" w:eastAsia="Segoe UI" w:cs="Segoe UI"/>
          <w:color w:val="auto"/>
          <w:lang w:eastAsia="zh-CN"/>
        </w:rPr>
      </w:pPr>
      <w:r>
        <w:rPr>
          <w:rFonts w:ascii="Times New Roman" w:hAnsi="Times New Roman" w:eastAsia="黑体"/>
          <w:color w:val="000000"/>
          <w:sz w:val="30"/>
          <w:lang w:eastAsia="zh-CN"/>
        </w:rPr>
        <w:t>1.4 县域发展基础：能源侧、算力侧与产业侧耦合</w:t>
      </w:r>
    </w:p>
    <w:p w14:paraId="22E1970D">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t>县域是我国新型电力系统建设的末端载体、数字经济下沉的重要场景，也是传统产业数字化、绿色化转型的关键承载单元。截至2023年底，我国县域经济体量达到全国GDP的38.1%，县域人口占全国人口的52.5%；2022年全国分布式光伏新增装机5111万千瓦，占当年光伏新增装机58%以上。上述基础表明，县域具备分布式绿电资源、产业用能需求和轻量化AI应用场景，是开展算电协同边缘算力产业培育的重要空间载体[14][15]。</w:t>
      </w:r>
    </w:p>
    <w:p w14:paraId="436C9880">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rPr>
          <w:color w:val="000000"/>
        </w:rPr>
        <w:t>县域算电协同边缘算力产业的形成，本质上是将分布式绿电就地消纳需求、边缘算力下沉趋势和县域产业智能化需求纳入同一框架。通过布局适度规模边缘算力节点，并对可迁移、可延迟、可弹性调度的AI任务进行动态安排，可在一定程度上实现绿电就地利用、低碳算力供给与产业数字化升级的协同。表1-</w:t>
      </w:r>
      <w:r>
        <w:rPr>
          <w:rFonts w:hint="eastAsia"/>
          <w:color w:val="000000"/>
          <w:lang w:val="en-US" w:eastAsia="zh-CN"/>
        </w:rPr>
        <w:t>3</w:t>
      </w:r>
      <w:r>
        <w:rPr>
          <w:color w:val="000000"/>
        </w:rPr>
        <w:t>从能源侧、算力侧和产业侧三个维度概括县域发展该产业的基础条件与支撑作用。</w:t>
      </w:r>
    </w:p>
    <w:p w14:paraId="38234AFB">
      <w:pPr>
        <w:keepNext/>
        <w:spacing w:before="80" w:after="40" w:line="240" w:lineRule="auto"/>
        <w:jc w:val="center"/>
        <w:rPr>
          <w:lang w:eastAsia="zh-CN"/>
        </w:rPr>
      </w:pPr>
      <w:r>
        <w:rPr>
          <w:b/>
          <w:color w:val="000000"/>
          <w:sz w:val="21"/>
          <w:lang w:eastAsia="zh-CN"/>
        </w:rPr>
        <w:t>表1-</w:t>
      </w:r>
      <w:r>
        <w:rPr>
          <w:rFonts w:hint="eastAsia"/>
          <w:b/>
          <w:color w:val="000000"/>
          <w:sz w:val="21"/>
          <w:lang w:val="en-US" w:eastAsia="zh-CN"/>
        </w:rPr>
        <w:t xml:space="preserve">3 </w:t>
      </w:r>
      <w:r>
        <w:rPr>
          <w:b/>
          <w:color w:val="000000"/>
          <w:sz w:val="21"/>
          <w:lang w:eastAsia="zh-CN"/>
        </w:rPr>
        <w:t>县域发展基础分析框架</w:t>
      </w:r>
    </w:p>
    <w:tbl>
      <w:tblPr>
        <w:tblStyle w:val="33"/>
        <w:tblW w:w="0" w:type="auto"/>
        <w:jc w:val="center"/>
        <w:tblLayout w:type="autofit"/>
        <w:tblCellMar>
          <w:top w:w="0" w:type="dxa"/>
          <w:left w:w="108" w:type="dxa"/>
          <w:bottom w:w="0" w:type="dxa"/>
          <w:right w:w="108" w:type="dxa"/>
        </w:tblCellMar>
      </w:tblPr>
      <w:tblGrid>
        <w:gridCol w:w="1417"/>
        <w:gridCol w:w="3969"/>
        <w:gridCol w:w="3118"/>
      </w:tblGrid>
      <w:tr w14:paraId="2F964D20">
        <w:tblPrEx>
          <w:tblCellMar>
            <w:top w:w="0" w:type="dxa"/>
            <w:left w:w="108" w:type="dxa"/>
            <w:bottom w:w="0" w:type="dxa"/>
            <w:right w:w="108" w:type="dxa"/>
          </w:tblCellMar>
        </w:tblPrEx>
        <w:trPr>
          <w:tblHeader/>
          <w:jc w:val="center"/>
        </w:trPr>
        <w:tc>
          <w:tcPr>
            <w:tcW w:w="1417"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3D0048EA">
            <w:pPr>
              <w:spacing w:after="0" w:line="240" w:lineRule="auto"/>
              <w:jc w:val="center"/>
            </w:pPr>
            <w:r>
              <w:rPr>
                <w:b/>
                <w:color w:val="000000"/>
                <w:sz w:val="21"/>
              </w:rPr>
              <w:t>分析维度</w:t>
            </w:r>
          </w:p>
        </w:tc>
        <w:tc>
          <w:tcPr>
            <w:tcW w:w="3969"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4EFA08A8">
            <w:pPr>
              <w:spacing w:after="0" w:line="240" w:lineRule="auto"/>
              <w:jc w:val="center"/>
            </w:pPr>
            <w:r>
              <w:rPr>
                <w:b/>
                <w:color w:val="000000"/>
                <w:sz w:val="21"/>
              </w:rPr>
              <w:t>主要基础</w:t>
            </w:r>
          </w:p>
        </w:tc>
        <w:tc>
          <w:tcPr>
            <w:tcW w:w="3118"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692AF217">
            <w:pPr>
              <w:spacing w:after="0" w:line="240" w:lineRule="auto"/>
              <w:jc w:val="center"/>
              <w:rPr>
                <w:lang w:eastAsia="zh-CN"/>
              </w:rPr>
            </w:pPr>
            <w:r>
              <w:rPr>
                <w:b/>
                <w:color w:val="000000"/>
                <w:sz w:val="21"/>
                <w:lang w:eastAsia="zh-CN"/>
              </w:rPr>
              <w:t>对算电协同的支撑作用</w:t>
            </w:r>
          </w:p>
        </w:tc>
      </w:tr>
      <w:tr w14:paraId="65461A6E">
        <w:tblPrEx>
          <w:tblCellMar>
            <w:top w:w="0" w:type="dxa"/>
            <w:left w:w="108" w:type="dxa"/>
            <w:bottom w:w="0" w:type="dxa"/>
            <w:right w:w="108" w:type="dxa"/>
          </w:tblCellMar>
        </w:tblPrEx>
        <w:trPr>
          <w:jc w:val="center"/>
        </w:trPr>
        <w:tc>
          <w:tcPr>
            <w:tcW w:w="1417" w:type="dxa"/>
            <w:tcBorders>
              <w:top w:val="nil"/>
              <w:left w:val="nil"/>
              <w:bottom w:val="nil"/>
              <w:right w:val="nil"/>
            </w:tcBorders>
            <w:tcMar>
              <w:top w:w="80" w:type="dxa"/>
              <w:left w:w="90" w:type="dxa"/>
              <w:bottom w:w="80" w:type="dxa"/>
              <w:right w:w="90" w:type="dxa"/>
            </w:tcMar>
            <w:vAlign w:val="center"/>
          </w:tcPr>
          <w:p w14:paraId="34198643">
            <w:pPr>
              <w:spacing w:after="0" w:line="240" w:lineRule="auto"/>
              <w:jc w:val="center"/>
            </w:pPr>
            <w:r>
              <w:rPr>
                <w:color w:val="000000"/>
                <w:sz w:val="21"/>
              </w:rPr>
              <w:t>能源侧</w:t>
            </w:r>
          </w:p>
        </w:tc>
        <w:tc>
          <w:tcPr>
            <w:tcW w:w="3969" w:type="dxa"/>
            <w:tcBorders>
              <w:top w:val="nil"/>
              <w:left w:val="nil"/>
              <w:bottom w:val="nil"/>
              <w:right w:val="nil"/>
            </w:tcBorders>
            <w:tcMar>
              <w:top w:w="80" w:type="dxa"/>
              <w:left w:w="90" w:type="dxa"/>
              <w:bottom w:w="80" w:type="dxa"/>
              <w:right w:w="90" w:type="dxa"/>
            </w:tcMar>
            <w:vAlign w:val="center"/>
          </w:tcPr>
          <w:p w14:paraId="524096AC">
            <w:pPr>
              <w:spacing w:after="0" w:line="240" w:lineRule="auto"/>
              <w:rPr>
                <w:lang w:eastAsia="zh-CN"/>
              </w:rPr>
            </w:pPr>
            <w:r>
              <w:rPr>
                <w:color w:val="000000"/>
                <w:sz w:val="21"/>
                <w:lang w:eastAsia="zh-CN"/>
              </w:rPr>
              <w:t>县域具备分布式光伏、小水电、分散式风电、生物质等多元绿电资源，同时存在绿电波动、消纳不足和调节资源有限等问题</w:t>
            </w:r>
          </w:p>
        </w:tc>
        <w:tc>
          <w:tcPr>
            <w:tcW w:w="3118" w:type="dxa"/>
            <w:tcBorders>
              <w:top w:val="nil"/>
              <w:left w:val="nil"/>
              <w:bottom w:val="nil"/>
              <w:right w:val="nil"/>
            </w:tcBorders>
            <w:tcMar>
              <w:top w:w="80" w:type="dxa"/>
              <w:left w:w="90" w:type="dxa"/>
              <w:bottom w:w="80" w:type="dxa"/>
              <w:right w:w="90" w:type="dxa"/>
            </w:tcMar>
            <w:vAlign w:val="center"/>
          </w:tcPr>
          <w:p w14:paraId="12E138A0">
            <w:pPr>
              <w:spacing w:after="0" w:line="240" w:lineRule="auto"/>
              <w:rPr>
                <w:lang w:eastAsia="zh-CN"/>
              </w:rPr>
            </w:pPr>
            <w:r>
              <w:rPr>
                <w:color w:val="000000"/>
                <w:sz w:val="21"/>
                <w:lang w:eastAsia="zh-CN"/>
              </w:rPr>
              <w:t>为边缘算力作为柔性负荷参与绿电就地利用提供需求基础</w:t>
            </w:r>
          </w:p>
        </w:tc>
      </w:tr>
      <w:tr w14:paraId="1DA9B828">
        <w:tblPrEx>
          <w:tblCellMar>
            <w:top w:w="0" w:type="dxa"/>
            <w:left w:w="108" w:type="dxa"/>
            <w:bottom w:w="0" w:type="dxa"/>
            <w:right w:w="108" w:type="dxa"/>
          </w:tblCellMar>
        </w:tblPrEx>
        <w:trPr>
          <w:jc w:val="center"/>
        </w:trPr>
        <w:tc>
          <w:tcPr>
            <w:tcW w:w="1417" w:type="dxa"/>
            <w:tcBorders>
              <w:top w:val="nil"/>
              <w:left w:val="nil"/>
              <w:bottom w:val="nil"/>
              <w:right w:val="nil"/>
            </w:tcBorders>
            <w:tcMar>
              <w:top w:w="80" w:type="dxa"/>
              <w:left w:w="90" w:type="dxa"/>
              <w:bottom w:w="80" w:type="dxa"/>
              <w:right w:w="90" w:type="dxa"/>
            </w:tcMar>
            <w:vAlign w:val="center"/>
          </w:tcPr>
          <w:p w14:paraId="4D70D2AA">
            <w:pPr>
              <w:spacing w:after="0" w:line="240" w:lineRule="auto"/>
              <w:jc w:val="center"/>
            </w:pPr>
            <w:r>
              <w:rPr>
                <w:color w:val="000000"/>
                <w:sz w:val="21"/>
              </w:rPr>
              <w:t>算力侧</w:t>
            </w:r>
          </w:p>
        </w:tc>
        <w:tc>
          <w:tcPr>
            <w:tcW w:w="3969" w:type="dxa"/>
            <w:tcBorders>
              <w:top w:val="nil"/>
              <w:left w:val="nil"/>
              <w:bottom w:val="nil"/>
              <w:right w:val="nil"/>
            </w:tcBorders>
            <w:tcMar>
              <w:top w:w="80" w:type="dxa"/>
              <w:left w:w="90" w:type="dxa"/>
              <w:bottom w:w="80" w:type="dxa"/>
              <w:right w:w="90" w:type="dxa"/>
            </w:tcMar>
            <w:vAlign w:val="center"/>
          </w:tcPr>
          <w:p w14:paraId="7C4EA264">
            <w:pPr>
              <w:spacing w:after="0" w:line="240" w:lineRule="auto"/>
              <w:rPr>
                <w:lang w:eastAsia="zh-CN"/>
              </w:rPr>
            </w:pPr>
            <w:r>
              <w:rPr>
                <w:color w:val="000000"/>
                <w:sz w:val="21"/>
                <w:lang w:eastAsia="zh-CN"/>
              </w:rPr>
              <w:t>AI应用从云端训练向边缘推理、行业小模型和本地智能服务扩展</w:t>
            </w:r>
          </w:p>
        </w:tc>
        <w:tc>
          <w:tcPr>
            <w:tcW w:w="3118" w:type="dxa"/>
            <w:tcBorders>
              <w:top w:val="nil"/>
              <w:left w:val="nil"/>
              <w:bottom w:val="nil"/>
              <w:right w:val="nil"/>
            </w:tcBorders>
            <w:tcMar>
              <w:top w:w="80" w:type="dxa"/>
              <w:left w:w="90" w:type="dxa"/>
              <w:bottom w:w="80" w:type="dxa"/>
              <w:right w:w="90" w:type="dxa"/>
            </w:tcMar>
            <w:vAlign w:val="center"/>
          </w:tcPr>
          <w:p w14:paraId="6FB8BFF9">
            <w:pPr>
              <w:spacing w:after="0" w:line="240" w:lineRule="auto"/>
              <w:rPr>
                <w:lang w:eastAsia="zh-CN"/>
              </w:rPr>
            </w:pPr>
            <w:r>
              <w:rPr>
                <w:color w:val="000000"/>
                <w:sz w:val="21"/>
                <w:lang w:eastAsia="zh-CN"/>
              </w:rPr>
              <w:t>为县域边缘算力节点提供轻量化任务来源</w:t>
            </w:r>
          </w:p>
        </w:tc>
      </w:tr>
      <w:tr w14:paraId="51C7C503">
        <w:tblPrEx>
          <w:tblCellMar>
            <w:top w:w="0" w:type="dxa"/>
            <w:left w:w="108" w:type="dxa"/>
            <w:bottom w:w="0" w:type="dxa"/>
            <w:right w:w="108" w:type="dxa"/>
          </w:tblCellMar>
        </w:tblPrEx>
        <w:trPr>
          <w:jc w:val="center"/>
        </w:trPr>
        <w:tc>
          <w:tcPr>
            <w:tcW w:w="1417" w:type="dxa"/>
            <w:tcBorders>
              <w:top w:val="nil"/>
              <w:left w:val="nil"/>
              <w:bottom w:val="single" w:color="000000" w:sz="12" w:space="0"/>
              <w:right w:val="nil"/>
            </w:tcBorders>
            <w:tcMar>
              <w:top w:w="80" w:type="dxa"/>
              <w:left w:w="90" w:type="dxa"/>
              <w:bottom w:w="80" w:type="dxa"/>
              <w:right w:w="90" w:type="dxa"/>
            </w:tcMar>
            <w:vAlign w:val="center"/>
          </w:tcPr>
          <w:p w14:paraId="130AA463">
            <w:pPr>
              <w:spacing w:after="0" w:line="240" w:lineRule="auto"/>
              <w:jc w:val="center"/>
            </w:pPr>
            <w:r>
              <w:rPr>
                <w:color w:val="000000"/>
                <w:sz w:val="21"/>
              </w:rPr>
              <w:t>产业侧</w:t>
            </w:r>
          </w:p>
        </w:tc>
        <w:tc>
          <w:tcPr>
            <w:tcW w:w="3969" w:type="dxa"/>
            <w:tcBorders>
              <w:top w:val="nil"/>
              <w:left w:val="nil"/>
              <w:bottom w:val="single" w:color="000000" w:sz="12" w:space="0"/>
              <w:right w:val="nil"/>
            </w:tcBorders>
            <w:tcMar>
              <w:top w:w="80" w:type="dxa"/>
              <w:left w:w="90" w:type="dxa"/>
              <w:bottom w:w="80" w:type="dxa"/>
              <w:right w:w="90" w:type="dxa"/>
            </w:tcMar>
            <w:vAlign w:val="center"/>
          </w:tcPr>
          <w:p w14:paraId="1A5112E1">
            <w:pPr>
              <w:spacing w:after="0" w:line="240" w:lineRule="auto"/>
              <w:rPr>
                <w:lang w:eastAsia="zh-CN"/>
              </w:rPr>
            </w:pPr>
            <w:r>
              <w:rPr>
                <w:color w:val="000000"/>
                <w:sz w:val="21"/>
                <w:lang w:eastAsia="zh-CN"/>
              </w:rPr>
              <w:t>工业、农业、能源运维和公共治理等场景存在低成本、低时延、本地化AI服务需求</w:t>
            </w:r>
          </w:p>
        </w:tc>
        <w:tc>
          <w:tcPr>
            <w:tcW w:w="3118" w:type="dxa"/>
            <w:tcBorders>
              <w:top w:val="nil"/>
              <w:left w:val="nil"/>
              <w:bottom w:val="single" w:color="000000" w:sz="12" w:space="0"/>
              <w:right w:val="nil"/>
            </w:tcBorders>
            <w:tcMar>
              <w:top w:w="80" w:type="dxa"/>
              <w:left w:w="90" w:type="dxa"/>
              <w:bottom w:w="80" w:type="dxa"/>
              <w:right w:w="90" w:type="dxa"/>
            </w:tcMar>
            <w:vAlign w:val="center"/>
          </w:tcPr>
          <w:p w14:paraId="334DFBF5">
            <w:pPr>
              <w:spacing w:after="0" w:line="240" w:lineRule="auto"/>
              <w:rPr>
                <w:lang w:eastAsia="zh-CN"/>
              </w:rPr>
            </w:pPr>
            <w:r>
              <w:rPr>
                <w:color w:val="000000"/>
                <w:sz w:val="21"/>
                <w:lang w:eastAsia="zh-CN"/>
              </w:rPr>
              <w:t>为算电协同产业形成稳定应用场景和商业入口提供支撑</w:t>
            </w:r>
          </w:p>
        </w:tc>
      </w:tr>
    </w:tbl>
    <w:p w14:paraId="77DDEA37">
      <w:pPr>
        <w:spacing w:after="0" w:line="360" w:lineRule="auto"/>
        <w:ind w:firstLine="480" w:firstLineChars="200"/>
        <w:jc w:val="both"/>
        <w:rPr>
          <w:rFonts w:hint="eastAsia" w:ascii="宋体" w:hAnsi="宋体" w:cs="宋体"/>
          <w:b/>
          <w:bCs/>
          <w:szCs w:val="24"/>
          <w:lang w:eastAsia="zh-CN"/>
        </w:rPr>
      </w:pPr>
      <w:r>
        <w:rPr>
          <w:color w:val="000000"/>
          <w:lang w:eastAsia="zh-CN"/>
        </w:rPr>
        <w:t>由表1-</w:t>
      </w:r>
      <w:r>
        <w:rPr>
          <w:rFonts w:hint="eastAsia"/>
          <w:color w:val="000000"/>
          <w:lang w:val="en-US" w:eastAsia="zh-CN"/>
        </w:rPr>
        <w:t>3</w:t>
      </w:r>
      <w:r>
        <w:rPr>
          <w:color w:val="000000"/>
          <w:lang w:eastAsia="zh-CN"/>
        </w:rPr>
        <w:t>可见，县域发展算电协同边缘算力产业并非单一能源逻辑或单一算力逻辑，而是由能源侧、算力侧和产业侧共同支撑。能源侧提供绿色电力基础和消纳需求，算力侧提供可调度任务载体，产业侧提供真实应用场景和长期运营需求。以下从三个维度分别展开分析。</w:t>
      </w:r>
    </w:p>
    <w:p w14:paraId="176F2FED">
      <w:pPr>
        <w:keepNext/>
        <w:spacing w:before="160" w:after="120" w:line="288" w:lineRule="auto"/>
        <w:rPr>
          <w:rFonts w:hint="eastAsia" w:ascii="黑体" w:hAnsi="黑体" w:eastAsia="黑体" w:cs="黑体"/>
          <w:b/>
          <w:bCs/>
          <w:sz w:val="28"/>
          <w:szCs w:val="28"/>
          <w:lang w:eastAsia="zh-CN"/>
        </w:rPr>
      </w:pPr>
      <w:r>
        <w:rPr>
          <w:rFonts w:eastAsia="黑体"/>
          <w:b/>
          <w:color w:val="000000"/>
          <w:lang w:eastAsia="zh-CN"/>
        </w:rPr>
        <w:t>1.4.1 能源侧基础：分布式绿电资源与系统调节需求</w:t>
      </w:r>
    </w:p>
    <w:p w14:paraId="1F8E58F6">
      <w:pPr>
        <w:spacing w:after="0" w:line="360" w:lineRule="auto"/>
        <w:ind w:firstLine="480" w:firstLineChars="200"/>
        <w:jc w:val="both"/>
        <w:rPr>
          <w:rFonts w:hint="eastAsia" w:ascii="宋体" w:hAnsi="宋体" w:cs="宋体"/>
          <w:szCs w:val="24"/>
          <w:lang w:eastAsia="zh-CN"/>
        </w:rPr>
      </w:pPr>
      <w:r>
        <w:rPr>
          <w:lang w:eastAsia="zh-CN"/>
        </w:rPr>
        <w:t>能源是算力产业的重要生产要素，也是“算随电走”模式形成的逻辑起点。我国县域地域广阔、资源类型多样，分布式光伏、小水电、分散式风电、生物质能等绿电资源广泛分布，不同类型县域可根据资源禀赋形成差异化的算电协同发展路径[5][8]。</w:t>
      </w:r>
    </w:p>
    <w:p w14:paraId="32F7A23F">
      <w:pPr>
        <w:keepNext/>
        <w:spacing w:before="80" w:after="40" w:line="240" w:lineRule="auto"/>
        <w:ind w:firstLine="422" w:firstLineChars="200"/>
        <w:jc w:val="center"/>
        <w:rPr>
          <w:rFonts w:hint="eastAsia" w:ascii="宋体" w:hAnsi="宋体" w:cs="宋体"/>
          <w:b/>
          <w:bCs/>
          <w:sz w:val="18"/>
          <w:szCs w:val="18"/>
          <w:lang w:eastAsia="zh-CN"/>
        </w:rPr>
      </w:pPr>
      <w:r>
        <w:rPr>
          <w:b/>
          <w:color w:val="000000"/>
          <w:sz w:val="21"/>
          <w:lang w:eastAsia="zh-CN"/>
        </w:rPr>
        <w:t>表1-</w:t>
      </w:r>
      <w:r>
        <w:rPr>
          <w:rFonts w:hint="eastAsia"/>
          <w:b/>
          <w:color w:val="000000"/>
          <w:sz w:val="21"/>
          <w:lang w:val="en-US" w:eastAsia="zh-CN"/>
        </w:rPr>
        <w:t>4</w:t>
      </w:r>
      <w:r>
        <w:rPr>
          <w:b/>
          <w:color w:val="000000"/>
          <w:sz w:val="21"/>
          <w:lang w:eastAsia="zh-CN"/>
        </w:rPr>
        <w:t xml:space="preserve"> 我国县域典型分布式绿电资源类型与特性</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1927"/>
        <w:gridCol w:w="1620"/>
        <w:gridCol w:w="1118"/>
        <w:gridCol w:w="2566"/>
      </w:tblGrid>
      <w:tr w14:paraId="6827D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1" w:type="dxa"/>
            <w:tcBorders>
              <w:top w:val="single" w:color="auto" w:sz="12" w:space="0"/>
              <w:left w:val="nil"/>
              <w:bottom w:val="single" w:color="auto" w:sz="8" w:space="0"/>
              <w:right w:val="nil"/>
            </w:tcBorders>
            <w:tcMar>
              <w:top w:w="80" w:type="dxa"/>
              <w:left w:w="90" w:type="dxa"/>
              <w:bottom w:w="80" w:type="dxa"/>
              <w:right w:w="90" w:type="dxa"/>
            </w:tcMar>
            <w:vAlign w:val="center"/>
          </w:tcPr>
          <w:p w14:paraId="61180C4C">
            <w:pPr>
              <w:pStyle w:val="165"/>
              <w:spacing w:line="240" w:lineRule="auto"/>
              <w:rPr>
                <w:rFonts w:hint="eastAsia" w:ascii="宋体" w:hAnsi="宋体"/>
                <w:b/>
                <w:bCs/>
                <w:sz w:val="18"/>
                <w:szCs w:val="18"/>
              </w:rPr>
            </w:pPr>
            <w:r>
              <w:rPr>
                <w:b/>
                <w:bCs/>
                <w:sz w:val="21"/>
                <w:szCs w:val="18"/>
              </w:rPr>
              <w:t>资源类型</w:t>
            </w:r>
          </w:p>
        </w:tc>
        <w:tc>
          <w:tcPr>
            <w:tcW w:w="1927" w:type="dxa"/>
            <w:tcBorders>
              <w:top w:val="single" w:color="auto" w:sz="12" w:space="0"/>
              <w:left w:val="nil"/>
              <w:bottom w:val="single" w:color="auto" w:sz="8" w:space="0"/>
              <w:right w:val="nil"/>
            </w:tcBorders>
            <w:tcMar>
              <w:top w:w="80" w:type="dxa"/>
              <w:left w:w="90" w:type="dxa"/>
              <w:bottom w:w="80" w:type="dxa"/>
              <w:right w:w="90" w:type="dxa"/>
            </w:tcMar>
            <w:vAlign w:val="center"/>
          </w:tcPr>
          <w:p w14:paraId="729CAF66">
            <w:pPr>
              <w:pStyle w:val="165"/>
              <w:spacing w:line="240" w:lineRule="auto"/>
              <w:rPr>
                <w:rFonts w:hint="eastAsia" w:ascii="宋体" w:hAnsi="宋体"/>
                <w:b/>
                <w:bCs/>
                <w:sz w:val="18"/>
                <w:szCs w:val="18"/>
              </w:rPr>
            </w:pPr>
            <w:r>
              <w:rPr>
                <w:b/>
                <w:bCs/>
                <w:sz w:val="21"/>
                <w:szCs w:val="18"/>
              </w:rPr>
              <w:t>核心分布县域类型</w:t>
            </w:r>
          </w:p>
        </w:tc>
        <w:tc>
          <w:tcPr>
            <w:tcW w:w="1620" w:type="dxa"/>
            <w:tcBorders>
              <w:top w:val="single" w:color="auto" w:sz="12" w:space="0"/>
              <w:left w:val="nil"/>
              <w:bottom w:val="single" w:color="auto" w:sz="8" w:space="0"/>
              <w:right w:val="nil"/>
            </w:tcBorders>
            <w:tcMar>
              <w:top w:w="80" w:type="dxa"/>
              <w:left w:w="90" w:type="dxa"/>
              <w:bottom w:w="80" w:type="dxa"/>
              <w:right w:w="90" w:type="dxa"/>
            </w:tcMar>
            <w:vAlign w:val="center"/>
          </w:tcPr>
          <w:p w14:paraId="0001DC90">
            <w:pPr>
              <w:pStyle w:val="165"/>
              <w:spacing w:line="240" w:lineRule="auto"/>
              <w:rPr>
                <w:rFonts w:hint="eastAsia" w:ascii="宋体" w:hAnsi="宋体"/>
                <w:b/>
                <w:bCs/>
                <w:sz w:val="18"/>
                <w:szCs w:val="18"/>
              </w:rPr>
            </w:pPr>
            <w:r>
              <w:rPr>
                <w:b/>
                <w:bCs/>
                <w:sz w:val="21"/>
                <w:szCs w:val="18"/>
              </w:rPr>
              <w:t>出力特性</w:t>
            </w:r>
          </w:p>
        </w:tc>
        <w:tc>
          <w:tcPr>
            <w:tcW w:w="1118" w:type="dxa"/>
            <w:tcBorders>
              <w:top w:val="single" w:color="auto" w:sz="12" w:space="0"/>
              <w:left w:val="nil"/>
              <w:bottom w:val="single" w:color="auto" w:sz="8" w:space="0"/>
              <w:right w:val="nil"/>
            </w:tcBorders>
            <w:tcMar>
              <w:top w:w="80" w:type="dxa"/>
              <w:left w:w="90" w:type="dxa"/>
              <w:bottom w:w="80" w:type="dxa"/>
              <w:right w:w="90" w:type="dxa"/>
            </w:tcMar>
            <w:vAlign w:val="center"/>
          </w:tcPr>
          <w:p w14:paraId="62772134">
            <w:pPr>
              <w:pStyle w:val="165"/>
              <w:spacing w:line="240" w:lineRule="auto"/>
              <w:rPr>
                <w:rFonts w:hint="eastAsia" w:ascii="宋体" w:hAnsi="宋体"/>
                <w:b/>
                <w:bCs/>
                <w:sz w:val="18"/>
                <w:szCs w:val="18"/>
              </w:rPr>
            </w:pPr>
            <w:r>
              <w:rPr>
                <w:b/>
                <w:bCs/>
                <w:sz w:val="21"/>
                <w:szCs w:val="18"/>
              </w:rPr>
              <w:t>调节能力</w:t>
            </w:r>
          </w:p>
        </w:tc>
        <w:tc>
          <w:tcPr>
            <w:tcW w:w="2566" w:type="dxa"/>
            <w:tcBorders>
              <w:top w:val="single" w:color="auto" w:sz="12" w:space="0"/>
              <w:left w:val="nil"/>
              <w:bottom w:val="single" w:color="auto" w:sz="8" w:space="0"/>
              <w:right w:val="nil"/>
            </w:tcBorders>
            <w:tcMar>
              <w:top w:w="80" w:type="dxa"/>
              <w:left w:w="90" w:type="dxa"/>
              <w:bottom w:w="80" w:type="dxa"/>
              <w:right w:w="90" w:type="dxa"/>
            </w:tcMar>
            <w:vAlign w:val="center"/>
          </w:tcPr>
          <w:p w14:paraId="0F41BE22">
            <w:pPr>
              <w:pStyle w:val="165"/>
              <w:spacing w:line="240" w:lineRule="auto"/>
              <w:rPr>
                <w:rFonts w:hint="eastAsia" w:ascii="宋体" w:hAnsi="宋体"/>
                <w:b/>
                <w:bCs/>
                <w:sz w:val="18"/>
                <w:szCs w:val="18"/>
              </w:rPr>
            </w:pPr>
            <w:r>
              <w:rPr>
                <w:b/>
                <w:bCs/>
                <w:sz w:val="21"/>
                <w:szCs w:val="18"/>
              </w:rPr>
              <w:t>典型案例数据</w:t>
            </w:r>
          </w:p>
        </w:tc>
      </w:tr>
      <w:tr w14:paraId="3DEF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1" w:type="dxa"/>
            <w:tcBorders>
              <w:top w:val="single" w:color="auto" w:sz="8" w:space="0"/>
              <w:left w:val="nil"/>
              <w:bottom w:val="nil"/>
              <w:right w:val="nil"/>
            </w:tcBorders>
            <w:tcMar>
              <w:top w:w="80" w:type="dxa"/>
              <w:left w:w="90" w:type="dxa"/>
              <w:bottom w:w="80" w:type="dxa"/>
              <w:right w:w="90" w:type="dxa"/>
            </w:tcMar>
            <w:vAlign w:val="center"/>
          </w:tcPr>
          <w:p w14:paraId="5A9B2455">
            <w:pPr>
              <w:pStyle w:val="165"/>
              <w:spacing w:line="240" w:lineRule="auto"/>
              <w:rPr>
                <w:rFonts w:hint="eastAsia" w:ascii="宋体" w:hAnsi="宋体"/>
                <w:sz w:val="18"/>
                <w:szCs w:val="18"/>
              </w:rPr>
            </w:pPr>
            <w:r>
              <w:rPr>
                <w:sz w:val="21"/>
                <w:szCs w:val="18"/>
              </w:rPr>
              <w:t>分布式光伏</w:t>
            </w:r>
          </w:p>
        </w:tc>
        <w:tc>
          <w:tcPr>
            <w:tcW w:w="1927" w:type="dxa"/>
            <w:tcBorders>
              <w:top w:val="single" w:color="auto" w:sz="8" w:space="0"/>
              <w:left w:val="nil"/>
              <w:bottom w:val="nil"/>
              <w:right w:val="nil"/>
            </w:tcBorders>
            <w:tcMar>
              <w:top w:w="80" w:type="dxa"/>
              <w:left w:w="90" w:type="dxa"/>
              <w:bottom w:w="80" w:type="dxa"/>
              <w:right w:w="90" w:type="dxa"/>
            </w:tcMar>
            <w:vAlign w:val="center"/>
          </w:tcPr>
          <w:p w14:paraId="0CCDBEE1">
            <w:pPr>
              <w:pStyle w:val="165"/>
              <w:spacing w:line="240" w:lineRule="auto"/>
              <w:rPr>
                <w:rFonts w:hint="eastAsia"/>
                <w:sz w:val="21"/>
                <w:szCs w:val="18"/>
                <w:lang w:eastAsia="zh-CN"/>
              </w:rPr>
            </w:pPr>
            <w:r>
              <w:rPr>
                <w:sz w:val="21"/>
                <w:szCs w:val="18"/>
                <w:lang w:eastAsia="zh-CN"/>
              </w:rPr>
              <w:t>全国多数农业县、工业县</w:t>
            </w:r>
          </w:p>
        </w:tc>
        <w:tc>
          <w:tcPr>
            <w:tcW w:w="1620" w:type="dxa"/>
            <w:tcBorders>
              <w:top w:val="single" w:color="auto" w:sz="8" w:space="0"/>
              <w:left w:val="nil"/>
              <w:bottom w:val="nil"/>
              <w:right w:val="nil"/>
            </w:tcBorders>
            <w:tcMar>
              <w:top w:w="80" w:type="dxa"/>
              <w:left w:w="90" w:type="dxa"/>
              <w:bottom w:w="80" w:type="dxa"/>
              <w:right w:w="90" w:type="dxa"/>
            </w:tcMar>
            <w:vAlign w:val="center"/>
          </w:tcPr>
          <w:p w14:paraId="4C2063BA">
            <w:pPr>
              <w:pStyle w:val="165"/>
              <w:spacing w:line="240" w:lineRule="auto"/>
              <w:rPr>
                <w:sz w:val="21"/>
                <w:szCs w:val="18"/>
                <w:lang w:eastAsia="zh-CN"/>
              </w:rPr>
            </w:pPr>
            <w:r>
              <w:rPr>
                <w:sz w:val="21"/>
                <w:szCs w:val="18"/>
                <w:lang w:eastAsia="zh-CN"/>
              </w:rPr>
              <w:t>分布式光伏装机持续增长，并网消纳需要配网协同[15]</w:t>
            </w:r>
          </w:p>
        </w:tc>
        <w:tc>
          <w:tcPr>
            <w:tcW w:w="1118" w:type="dxa"/>
            <w:tcBorders>
              <w:top w:val="single" w:color="auto" w:sz="8" w:space="0"/>
              <w:left w:val="nil"/>
              <w:bottom w:val="nil"/>
              <w:right w:val="nil"/>
            </w:tcBorders>
            <w:tcMar>
              <w:top w:w="80" w:type="dxa"/>
              <w:left w:w="90" w:type="dxa"/>
              <w:bottom w:w="80" w:type="dxa"/>
              <w:right w:w="90" w:type="dxa"/>
            </w:tcMar>
            <w:vAlign w:val="center"/>
          </w:tcPr>
          <w:p w14:paraId="119EB3EF">
            <w:pPr>
              <w:pStyle w:val="165"/>
              <w:spacing w:line="240" w:lineRule="auto"/>
              <w:rPr>
                <w:rFonts w:hint="eastAsia"/>
                <w:sz w:val="21"/>
                <w:szCs w:val="18"/>
              </w:rPr>
            </w:pPr>
            <w:r>
              <w:rPr>
                <w:sz w:val="21"/>
                <w:szCs w:val="18"/>
              </w:rPr>
              <w:t>弱</w:t>
            </w:r>
          </w:p>
        </w:tc>
        <w:tc>
          <w:tcPr>
            <w:tcW w:w="2566" w:type="dxa"/>
            <w:tcBorders>
              <w:top w:val="single" w:color="auto" w:sz="8" w:space="0"/>
              <w:left w:val="nil"/>
              <w:bottom w:val="nil"/>
              <w:right w:val="nil"/>
            </w:tcBorders>
            <w:tcMar>
              <w:top w:w="80" w:type="dxa"/>
              <w:left w:w="90" w:type="dxa"/>
              <w:bottom w:w="80" w:type="dxa"/>
              <w:right w:w="90" w:type="dxa"/>
            </w:tcMar>
            <w:vAlign w:val="center"/>
          </w:tcPr>
          <w:p w14:paraId="106997BE">
            <w:pPr>
              <w:pStyle w:val="165"/>
              <w:spacing w:line="240" w:lineRule="auto"/>
              <w:rPr>
                <w:rFonts w:hint="eastAsia"/>
                <w:sz w:val="21"/>
                <w:szCs w:val="18"/>
                <w:lang w:eastAsia="zh-CN"/>
              </w:rPr>
            </w:pPr>
            <w:r>
              <w:rPr>
                <w:sz w:val="21"/>
                <w:szCs w:val="18"/>
                <w:lang w:eastAsia="zh-CN"/>
              </w:rPr>
              <w:t>山东鱼台县累计并网25.23万千瓦，年增速超20%</w:t>
            </w:r>
          </w:p>
        </w:tc>
      </w:tr>
      <w:tr w14:paraId="6C3F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1" w:type="dxa"/>
            <w:tcBorders>
              <w:top w:val="nil"/>
              <w:left w:val="nil"/>
              <w:bottom w:val="nil"/>
              <w:right w:val="nil"/>
            </w:tcBorders>
            <w:tcMar>
              <w:top w:w="80" w:type="dxa"/>
              <w:left w:w="90" w:type="dxa"/>
              <w:bottom w:w="80" w:type="dxa"/>
              <w:right w:w="90" w:type="dxa"/>
            </w:tcMar>
            <w:vAlign w:val="center"/>
          </w:tcPr>
          <w:p w14:paraId="15A66F2F">
            <w:pPr>
              <w:pStyle w:val="165"/>
              <w:spacing w:line="240" w:lineRule="auto"/>
              <w:rPr>
                <w:rFonts w:hint="eastAsia" w:ascii="宋体" w:hAnsi="宋体"/>
                <w:sz w:val="18"/>
                <w:szCs w:val="18"/>
              </w:rPr>
            </w:pPr>
            <w:r>
              <w:rPr>
                <w:sz w:val="21"/>
                <w:szCs w:val="18"/>
              </w:rPr>
              <w:t>小水电</w:t>
            </w:r>
          </w:p>
        </w:tc>
        <w:tc>
          <w:tcPr>
            <w:tcW w:w="1927" w:type="dxa"/>
            <w:tcBorders>
              <w:top w:val="nil"/>
              <w:left w:val="nil"/>
              <w:bottom w:val="nil"/>
              <w:right w:val="nil"/>
            </w:tcBorders>
            <w:tcMar>
              <w:top w:w="80" w:type="dxa"/>
              <w:left w:w="90" w:type="dxa"/>
              <w:bottom w:w="80" w:type="dxa"/>
              <w:right w:w="90" w:type="dxa"/>
            </w:tcMar>
            <w:vAlign w:val="center"/>
          </w:tcPr>
          <w:p w14:paraId="2D041DC4">
            <w:pPr>
              <w:pStyle w:val="165"/>
              <w:spacing w:line="240" w:lineRule="auto"/>
              <w:rPr>
                <w:rFonts w:hint="eastAsia"/>
                <w:sz w:val="21"/>
                <w:szCs w:val="18"/>
              </w:rPr>
            </w:pPr>
            <w:r>
              <w:rPr>
                <w:sz w:val="21"/>
                <w:szCs w:val="18"/>
              </w:rPr>
              <w:t>南方山区县域</w:t>
            </w:r>
          </w:p>
        </w:tc>
        <w:tc>
          <w:tcPr>
            <w:tcW w:w="1620" w:type="dxa"/>
            <w:tcBorders>
              <w:top w:val="nil"/>
              <w:left w:val="nil"/>
              <w:bottom w:val="nil"/>
              <w:right w:val="nil"/>
            </w:tcBorders>
            <w:tcMar>
              <w:top w:w="80" w:type="dxa"/>
              <w:left w:w="90" w:type="dxa"/>
              <w:bottom w:w="80" w:type="dxa"/>
              <w:right w:w="90" w:type="dxa"/>
            </w:tcMar>
            <w:vAlign w:val="center"/>
          </w:tcPr>
          <w:p w14:paraId="11F6AAD1">
            <w:pPr>
              <w:pStyle w:val="165"/>
              <w:spacing w:line="240" w:lineRule="auto"/>
              <w:rPr>
                <w:sz w:val="21"/>
                <w:szCs w:val="18"/>
                <w:lang w:eastAsia="zh-CN"/>
              </w:rPr>
            </w:pPr>
            <w:r>
              <w:rPr>
                <w:sz w:val="21"/>
                <w:szCs w:val="18"/>
                <w:lang w:eastAsia="zh-CN"/>
              </w:rPr>
              <w:t>南方山区县域小水电资源丰富，丰枯期调节需要协同配置[8]</w:t>
            </w:r>
          </w:p>
        </w:tc>
        <w:tc>
          <w:tcPr>
            <w:tcW w:w="1118" w:type="dxa"/>
            <w:tcBorders>
              <w:top w:val="nil"/>
              <w:left w:val="nil"/>
              <w:bottom w:val="nil"/>
              <w:right w:val="nil"/>
            </w:tcBorders>
            <w:tcMar>
              <w:top w:w="80" w:type="dxa"/>
              <w:left w:w="90" w:type="dxa"/>
              <w:bottom w:w="80" w:type="dxa"/>
              <w:right w:w="90" w:type="dxa"/>
            </w:tcMar>
            <w:vAlign w:val="center"/>
          </w:tcPr>
          <w:p w14:paraId="3F03D9C2">
            <w:pPr>
              <w:pStyle w:val="165"/>
              <w:spacing w:line="240" w:lineRule="auto"/>
              <w:rPr>
                <w:rFonts w:hint="eastAsia"/>
                <w:sz w:val="21"/>
                <w:szCs w:val="18"/>
              </w:rPr>
            </w:pPr>
            <w:r>
              <w:rPr>
                <w:sz w:val="21"/>
                <w:szCs w:val="18"/>
              </w:rPr>
              <w:t>中等</w:t>
            </w:r>
          </w:p>
        </w:tc>
        <w:tc>
          <w:tcPr>
            <w:tcW w:w="2566" w:type="dxa"/>
            <w:tcBorders>
              <w:top w:val="nil"/>
              <w:left w:val="nil"/>
              <w:bottom w:val="nil"/>
              <w:right w:val="nil"/>
            </w:tcBorders>
            <w:tcMar>
              <w:top w:w="80" w:type="dxa"/>
              <w:left w:w="90" w:type="dxa"/>
              <w:bottom w:w="80" w:type="dxa"/>
              <w:right w:w="90" w:type="dxa"/>
            </w:tcMar>
            <w:vAlign w:val="center"/>
          </w:tcPr>
          <w:p w14:paraId="11C5CC68">
            <w:pPr>
              <w:pStyle w:val="165"/>
              <w:spacing w:line="240" w:lineRule="auto"/>
              <w:rPr>
                <w:rFonts w:hint="eastAsia"/>
                <w:sz w:val="21"/>
                <w:szCs w:val="18"/>
                <w:lang w:eastAsia="zh-CN"/>
              </w:rPr>
            </w:pPr>
            <w:r>
              <w:rPr>
                <w:sz w:val="21"/>
                <w:szCs w:val="18"/>
                <w:lang w:eastAsia="zh-CN"/>
              </w:rPr>
              <w:t>福建全省4026座小水电站，闽清水口电站年发电78亿千瓦时</w:t>
            </w:r>
          </w:p>
        </w:tc>
      </w:tr>
      <w:tr w14:paraId="6304B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1" w:type="dxa"/>
            <w:tcBorders>
              <w:top w:val="nil"/>
              <w:left w:val="nil"/>
              <w:bottom w:val="nil"/>
              <w:right w:val="nil"/>
            </w:tcBorders>
            <w:tcMar>
              <w:top w:w="80" w:type="dxa"/>
              <w:left w:w="90" w:type="dxa"/>
              <w:bottom w:w="80" w:type="dxa"/>
              <w:right w:w="90" w:type="dxa"/>
            </w:tcMar>
            <w:vAlign w:val="center"/>
          </w:tcPr>
          <w:p w14:paraId="5AF65A4A">
            <w:pPr>
              <w:pStyle w:val="165"/>
              <w:spacing w:line="240" w:lineRule="auto"/>
              <w:rPr>
                <w:rFonts w:hint="eastAsia" w:ascii="宋体" w:hAnsi="宋体"/>
                <w:sz w:val="18"/>
                <w:szCs w:val="18"/>
              </w:rPr>
            </w:pPr>
            <w:r>
              <w:rPr>
                <w:sz w:val="21"/>
                <w:szCs w:val="18"/>
              </w:rPr>
              <w:t>分散式风电</w:t>
            </w:r>
          </w:p>
        </w:tc>
        <w:tc>
          <w:tcPr>
            <w:tcW w:w="1927" w:type="dxa"/>
            <w:tcBorders>
              <w:top w:val="nil"/>
              <w:left w:val="nil"/>
              <w:bottom w:val="nil"/>
              <w:right w:val="nil"/>
            </w:tcBorders>
            <w:tcMar>
              <w:top w:w="80" w:type="dxa"/>
              <w:left w:w="90" w:type="dxa"/>
              <w:bottom w:w="80" w:type="dxa"/>
              <w:right w:w="90" w:type="dxa"/>
            </w:tcMar>
            <w:vAlign w:val="center"/>
          </w:tcPr>
          <w:p w14:paraId="37F2A844">
            <w:pPr>
              <w:pStyle w:val="165"/>
              <w:spacing w:line="240" w:lineRule="auto"/>
              <w:rPr>
                <w:rFonts w:hint="eastAsia"/>
                <w:sz w:val="21"/>
                <w:szCs w:val="18"/>
                <w:lang w:eastAsia="zh-CN"/>
              </w:rPr>
            </w:pPr>
            <w:r>
              <w:rPr>
                <w:sz w:val="21"/>
                <w:szCs w:val="18"/>
                <w:lang w:eastAsia="zh-CN"/>
              </w:rPr>
              <w:t>北方农牧县、沿海县域</w:t>
            </w:r>
          </w:p>
        </w:tc>
        <w:tc>
          <w:tcPr>
            <w:tcW w:w="1620" w:type="dxa"/>
            <w:tcBorders>
              <w:top w:val="nil"/>
              <w:left w:val="nil"/>
              <w:bottom w:val="nil"/>
              <w:right w:val="nil"/>
            </w:tcBorders>
            <w:tcMar>
              <w:top w:w="80" w:type="dxa"/>
              <w:left w:w="90" w:type="dxa"/>
              <w:bottom w:w="80" w:type="dxa"/>
              <w:right w:w="90" w:type="dxa"/>
            </w:tcMar>
            <w:vAlign w:val="center"/>
          </w:tcPr>
          <w:p w14:paraId="732E1B4E">
            <w:pPr>
              <w:pStyle w:val="165"/>
              <w:spacing w:line="240" w:lineRule="auto"/>
              <w:rPr>
                <w:sz w:val="21"/>
                <w:szCs w:val="18"/>
                <w:lang w:eastAsia="zh-CN"/>
              </w:rPr>
            </w:pPr>
            <w:r>
              <w:rPr>
                <w:sz w:val="21"/>
                <w:szCs w:val="18"/>
                <w:lang w:eastAsia="zh-CN"/>
              </w:rPr>
              <w:t>青海海晏县具有风光资源开发基础[17]</w:t>
            </w:r>
          </w:p>
        </w:tc>
        <w:tc>
          <w:tcPr>
            <w:tcW w:w="1118" w:type="dxa"/>
            <w:tcBorders>
              <w:top w:val="nil"/>
              <w:left w:val="nil"/>
              <w:bottom w:val="nil"/>
              <w:right w:val="nil"/>
            </w:tcBorders>
            <w:tcMar>
              <w:top w:w="80" w:type="dxa"/>
              <w:left w:w="90" w:type="dxa"/>
              <w:bottom w:w="80" w:type="dxa"/>
              <w:right w:w="90" w:type="dxa"/>
            </w:tcMar>
            <w:vAlign w:val="center"/>
          </w:tcPr>
          <w:p w14:paraId="4ADA8109">
            <w:pPr>
              <w:pStyle w:val="165"/>
              <w:spacing w:line="240" w:lineRule="auto"/>
              <w:rPr>
                <w:rFonts w:hint="eastAsia"/>
                <w:sz w:val="21"/>
                <w:szCs w:val="18"/>
              </w:rPr>
            </w:pPr>
            <w:r>
              <w:rPr>
                <w:sz w:val="21"/>
                <w:szCs w:val="18"/>
              </w:rPr>
              <w:t>弱</w:t>
            </w:r>
          </w:p>
        </w:tc>
        <w:tc>
          <w:tcPr>
            <w:tcW w:w="2566" w:type="dxa"/>
            <w:tcBorders>
              <w:top w:val="nil"/>
              <w:left w:val="nil"/>
              <w:bottom w:val="nil"/>
              <w:right w:val="nil"/>
            </w:tcBorders>
            <w:tcMar>
              <w:top w:w="80" w:type="dxa"/>
              <w:left w:w="90" w:type="dxa"/>
              <w:bottom w:w="80" w:type="dxa"/>
              <w:right w:w="90" w:type="dxa"/>
            </w:tcMar>
            <w:vAlign w:val="center"/>
          </w:tcPr>
          <w:p w14:paraId="3B95204B">
            <w:pPr>
              <w:pStyle w:val="165"/>
              <w:spacing w:line="240" w:lineRule="auto"/>
              <w:rPr>
                <w:rFonts w:hint="eastAsia"/>
                <w:sz w:val="21"/>
                <w:szCs w:val="18"/>
                <w:lang w:eastAsia="zh-CN"/>
              </w:rPr>
            </w:pPr>
            <w:r>
              <w:rPr>
                <w:sz w:val="21"/>
                <w:szCs w:val="18"/>
                <w:lang w:eastAsia="zh-CN"/>
              </w:rPr>
              <w:t>青海海晏县总装机140兆瓦，年发电量3.84亿千瓦</w:t>
            </w:r>
            <w:r>
              <w:rPr>
                <w:rFonts w:hint="eastAsia"/>
                <w:sz w:val="21"/>
                <w:szCs w:val="18"/>
                <w:lang w:eastAsia="zh-CN"/>
              </w:rPr>
              <w:t>时</w:t>
            </w:r>
          </w:p>
        </w:tc>
      </w:tr>
      <w:tr w14:paraId="1C5D0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1" w:type="dxa"/>
            <w:tcBorders>
              <w:top w:val="nil"/>
              <w:left w:val="nil"/>
              <w:bottom w:val="single" w:color="auto" w:sz="12" w:space="0"/>
              <w:right w:val="nil"/>
            </w:tcBorders>
            <w:tcMar>
              <w:top w:w="80" w:type="dxa"/>
              <w:left w:w="90" w:type="dxa"/>
              <w:bottom w:w="80" w:type="dxa"/>
              <w:right w:w="90" w:type="dxa"/>
            </w:tcMar>
            <w:vAlign w:val="center"/>
          </w:tcPr>
          <w:p w14:paraId="4710373E">
            <w:pPr>
              <w:pStyle w:val="165"/>
              <w:spacing w:line="240" w:lineRule="auto"/>
              <w:rPr>
                <w:rFonts w:hint="eastAsia" w:ascii="宋体" w:hAnsi="宋体"/>
                <w:sz w:val="18"/>
                <w:szCs w:val="18"/>
              </w:rPr>
            </w:pPr>
            <w:r>
              <w:rPr>
                <w:sz w:val="21"/>
                <w:szCs w:val="18"/>
              </w:rPr>
              <w:t>生物质能</w:t>
            </w:r>
          </w:p>
        </w:tc>
        <w:tc>
          <w:tcPr>
            <w:tcW w:w="1927" w:type="dxa"/>
            <w:tcBorders>
              <w:top w:val="nil"/>
              <w:left w:val="nil"/>
              <w:bottom w:val="single" w:color="auto" w:sz="12" w:space="0"/>
              <w:right w:val="nil"/>
            </w:tcBorders>
            <w:tcMar>
              <w:top w:w="80" w:type="dxa"/>
              <w:left w:w="90" w:type="dxa"/>
              <w:bottom w:w="80" w:type="dxa"/>
              <w:right w:w="90" w:type="dxa"/>
            </w:tcMar>
            <w:vAlign w:val="center"/>
          </w:tcPr>
          <w:p w14:paraId="542417F2">
            <w:pPr>
              <w:pStyle w:val="165"/>
              <w:spacing w:line="240" w:lineRule="auto"/>
              <w:rPr>
                <w:rFonts w:hint="eastAsia"/>
                <w:sz w:val="21"/>
                <w:szCs w:val="18"/>
              </w:rPr>
            </w:pPr>
            <w:r>
              <w:rPr>
                <w:sz w:val="21"/>
                <w:szCs w:val="18"/>
              </w:rPr>
              <w:t>农业主产县域</w:t>
            </w:r>
          </w:p>
        </w:tc>
        <w:tc>
          <w:tcPr>
            <w:tcW w:w="1620" w:type="dxa"/>
            <w:tcBorders>
              <w:top w:val="nil"/>
              <w:left w:val="nil"/>
              <w:bottom w:val="single" w:color="auto" w:sz="12" w:space="0"/>
              <w:right w:val="nil"/>
            </w:tcBorders>
            <w:tcMar>
              <w:top w:w="80" w:type="dxa"/>
              <w:left w:w="90" w:type="dxa"/>
              <w:bottom w:w="80" w:type="dxa"/>
              <w:right w:w="90" w:type="dxa"/>
            </w:tcMar>
            <w:vAlign w:val="center"/>
          </w:tcPr>
          <w:p w14:paraId="07B77144">
            <w:pPr>
              <w:pStyle w:val="165"/>
              <w:spacing w:line="240" w:lineRule="auto"/>
              <w:rPr>
                <w:sz w:val="21"/>
                <w:szCs w:val="18"/>
                <w:lang w:eastAsia="zh-CN"/>
              </w:rPr>
            </w:pPr>
            <w:r>
              <w:rPr>
                <w:sz w:val="21"/>
                <w:szCs w:val="18"/>
                <w:lang w:eastAsia="zh-CN"/>
              </w:rPr>
              <w:t>山西浮山县通过分布式光伏服务乡村振兴[18]</w:t>
            </w:r>
          </w:p>
        </w:tc>
        <w:tc>
          <w:tcPr>
            <w:tcW w:w="1118" w:type="dxa"/>
            <w:tcBorders>
              <w:top w:val="nil"/>
              <w:left w:val="nil"/>
              <w:bottom w:val="single" w:color="auto" w:sz="12" w:space="0"/>
              <w:right w:val="nil"/>
            </w:tcBorders>
            <w:tcMar>
              <w:top w:w="80" w:type="dxa"/>
              <w:left w:w="90" w:type="dxa"/>
              <w:bottom w:w="80" w:type="dxa"/>
              <w:right w:w="90" w:type="dxa"/>
            </w:tcMar>
            <w:vAlign w:val="center"/>
          </w:tcPr>
          <w:p w14:paraId="2380E2B8">
            <w:pPr>
              <w:pStyle w:val="165"/>
              <w:spacing w:line="240" w:lineRule="auto"/>
              <w:rPr>
                <w:rFonts w:hint="eastAsia"/>
                <w:sz w:val="21"/>
                <w:szCs w:val="18"/>
              </w:rPr>
            </w:pPr>
            <w:r>
              <w:rPr>
                <w:sz w:val="21"/>
                <w:szCs w:val="18"/>
              </w:rPr>
              <w:t>强</w:t>
            </w:r>
          </w:p>
        </w:tc>
        <w:tc>
          <w:tcPr>
            <w:tcW w:w="2566" w:type="dxa"/>
            <w:tcBorders>
              <w:top w:val="nil"/>
              <w:left w:val="nil"/>
              <w:bottom w:val="single" w:color="auto" w:sz="12" w:space="0"/>
              <w:right w:val="nil"/>
            </w:tcBorders>
            <w:tcMar>
              <w:top w:w="80" w:type="dxa"/>
              <w:left w:w="90" w:type="dxa"/>
              <w:bottom w:w="80" w:type="dxa"/>
              <w:right w:w="90" w:type="dxa"/>
            </w:tcMar>
            <w:vAlign w:val="center"/>
          </w:tcPr>
          <w:p w14:paraId="22867C58">
            <w:pPr>
              <w:pStyle w:val="165"/>
              <w:spacing w:line="240" w:lineRule="auto"/>
              <w:rPr>
                <w:rFonts w:hint="eastAsia"/>
                <w:sz w:val="21"/>
                <w:szCs w:val="18"/>
                <w:lang w:eastAsia="zh-CN"/>
              </w:rPr>
            </w:pPr>
            <w:r>
              <w:rPr>
                <w:sz w:val="21"/>
                <w:szCs w:val="18"/>
                <w:lang w:eastAsia="zh-CN"/>
              </w:rPr>
              <w:t>山西浮山县年消纳6万吨废弃生物质，减碳12.48万吨</w:t>
            </w:r>
          </w:p>
        </w:tc>
      </w:tr>
    </w:tbl>
    <w:p w14:paraId="387F6A5E">
      <w:pPr>
        <w:pStyle w:val="30"/>
        <w:spacing w:beforeAutospacing="0" w:afterAutospacing="0" w:line="360" w:lineRule="auto"/>
        <w:ind w:firstLine="480" w:firstLineChars="200"/>
        <w:jc w:val="both"/>
        <w:rPr>
          <w:rFonts w:hint="eastAsia" w:ascii="宋体" w:hAnsi="宋体" w:cs="宋体"/>
        </w:rPr>
      </w:pPr>
      <w:r>
        <w:t>从资源结构看，分布式光伏是县域绿电的重要增量。以青海海晏县为例，覆盖12个村的1.9 MW扶贫光伏电站自2018年6月并网投运以来，累计分红1400万元；山西浮山县“沐光行动”在全县121个行政村实现光伏电站全覆盖。上述案例体现出县域分布式绿电与乡村振兴、土地复合利用和产业增收之间的关联价值[17][18]。</w:t>
      </w:r>
    </w:p>
    <w:p w14:paraId="0B20590A">
      <w:pPr>
        <w:pStyle w:val="30"/>
        <w:spacing w:beforeAutospacing="0" w:afterAutospacing="0" w:line="360" w:lineRule="auto"/>
        <w:ind w:firstLine="480" w:firstLineChars="200"/>
        <w:jc w:val="both"/>
        <w:rPr>
          <w:rFonts w:hint="eastAsia" w:ascii="宋体" w:hAnsi="宋体" w:cs="宋体"/>
          <w:highlight w:val="yellow"/>
        </w:rPr>
      </w:pPr>
      <w:r>
        <w:t>但是，分布式绿电也具有波动性和时序错配问题。受配电网容量、接入条件和外送能力等因素影响，部分地区在新能源出力较高时段可能出现分布式光伏并网消纳受限，丰水期小水电资源较集中的地区也可能面临消纳压力。因此，需要通过配电网改造、储能配置和可调节负荷协同等方式提升就地消纳能力[8][16]。</w:t>
      </w:r>
    </w:p>
    <w:p w14:paraId="730493A5">
      <w:pPr>
        <w:keepNext/>
        <w:spacing w:after="0" w:line="360" w:lineRule="auto"/>
        <w:jc w:val="center"/>
      </w:pPr>
      <w:r>
        <w:drawing>
          <wp:inline distT="0" distB="0" distL="114300" distR="114300">
            <wp:extent cx="4722495" cy="3129280"/>
            <wp:effectExtent l="0" t="0" r="1905"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4722495" cy="3129280"/>
                    </a:xfrm>
                    <a:prstGeom prst="rect">
                      <a:avLst/>
                    </a:prstGeom>
                    <a:noFill/>
                    <a:ln>
                      <a:noFill/>
                    </a:ln>
                  </pic:spPr>
                </pic:pic>
              </a:graphicData>
            </a:graphic>
          </wp:inline>
        </w:drawing>
      </w:r>
    </w:p>
    <w:p w14:paraId="11A117EE">
      <w:pPr>
        <w:spacing w:before="80" w:after="40" w:line="240" w:lineRule="auto"/>
        <w:jc w:val="center"/>
        <w:rPr>
          <w:rFonts w:hint="eastAsia" w:ascii="宋体" w:hAnsi="宋体" w:cs="宋体"/>
          <w:b/>
          <w:bCs/>
          <w:sz w:val="18"/>
          <w:szCs w:val="18"/>
          <w:lang w:eastAsia="zh-CN"/>
        </w:rPr>
      </w:pPr>
      <w:r>
        <w:rPr>
          <w:color w:val="000000"/>
          <w:sz w:val="21"/>
          <w:lang w:eastAsia="zh-CN"/>
        </w:rPr>
        <w:t>图1-</w:t>
      </w:r>
      <w:r>
        <w:rPr>
          <w:rFonts w:hint="eastAsia"/>
          <w:color w:val="000000"/>
          <w:sz w:val="21"/>
          <w:lang w:val="en-US" w:eastAsia="zh-CN"/>
        </w:rPr>
        <w:t>2</w:t>
      </w:r>
      <w:r>
        <w:rPr>
          <w:color w:val="000000"/>
          <w:sz w:val="21"/>
          <w:lang w:eastAsia="zh-CN"/>
        </w:rPr>
        <w:t xml:space="preserve"> 县域典型日分布式光伏出力与基础负荷错配示意图</w:t>
      </w:r>
    </w:p>
    <w:p w14:paraId="6C1FCA05">
      <w:pPr>
        <w:pStyle w:val="30"/>
        <w:spacing w:beforeAutospacing="0" w:afterAutospacing="0" w:line="360" w:lineRule="auto"/>
        <w:ind w:firstLine="480" w:firstLineChars="200"/>
        <w:jc w:val="both"/>
        <w:rPr>
          <w:rFonts w:hint="eastAsia" w:ascii="宋体" w:hAnsi="宋体" w:cs="宋体"/>
          <w:highlight w:val="yellow"/>
        </w:rPr>
      </w:pPr>
      <w:r>
        <w:t>图1-</w:t>
      </w:r>
      <w:r>
        <w:rPr>
          <w:rFonts w:hint="eastAsia"/>
          <w:lang w:val="en-US" w:eastAsia="zh-CN"/>
        </w:rPr>
        <w:t>2</w:t>
      </w:r>
      <w:r>
        <w:t>用于说明县域分布式光伏出力与基础负荷之间的日内错配关系。光伏出力通常在午间达到高峰，而基础负荷可能在早晚时段较高，二者并不完全同步。该错配关系说明，仅依赖传统固定负荷难以充分消纳分布式绿电，需要引入可调节负荷、储能和源网荷储协同调度等手段。边缘算力负荷具有可迁移、可延迟和可弹性调节特征，可在绿电充足时段增加弹性任务和温冷任务处理量，从而为县域绿电就地利用提供新的需求侧调节资源[8]。</w:t>
      </w:r>
    </w:p>
    <w:p w14:paraId="1A960360">
      <w:pPr>
        <w:pStyle w:val="30"/>
        <w:spacing w:beforeAutospacing="0" w:afterAutospacing="0" w:line="360" w:lineRule="auto"/>
        <w:ind w:firstLine="480" w:firstLineChars="200"/>
        <w:jc w:val="both"/>
        <w:rPr>
          <w:rFonts w:hint="eastAsia" w:ascii="宋体" w:hAnsi="宋体" w:cs="宋体"/>
        </w:rPr>
      </w:pPr>
      <w:r>
        <w:t>此外，县域系统调节资源相对有限，储能规模、负荷可调性和统一调度能力往往受资源条件与市场机制约束。因此，将边缘算力负荷纳入县域能源系统统一调度，有助于缓解分布式绿电消纳不足、系统调节资源匮乏和源荷协同水平不高等问题[8]。</w:t>
      </w:r>
    </w:p>
    <w:p w14:paraId="080C4089">
      <w:pPr>
        <w:keepNext/>
        <w:spacing w:before="160" w:after="120" w:line="288" w:lineRule="auto"/>
        <w:rPr>
          <w:rFonts w:hint="eastAsia" w:ascii="黑体" w:hAnsi="黑体" w:eastAsia="黑体" w:cs="黑体"/>
          <w:b/>
          <w:sz w:val="28"/>
          <w:szCs w:val="28"/>
          <w:lang w:eastAsia="zh-CN"/>
        </w:rPr>
      </w:pPr>
      <w:r>
        <w:rPr>
          <w:rFonts w:eastAsia="黑体"/>
          <w:b/>
          <w:color w:val="000000"/>
          <w:lang w:eastAsia="zh-CN"/>
        </w:rPr>
        <w:t>1.4.2 算力侧基础：边缘算力下沉与轻量化AI需求释放</w:t>
      </w:r>
    </w:p>
    <w:p w14:paraId="59148642">
      <w:pPr>
        <w:pStyle w:val="30"/>
        <w:spacing w:beforeAutospacing="0" w:afterAutospacing="0" w:line="360" w:lineRule="auto"/>
        <w:ind w:firstLine="480" w:firstLineChars="200"/>
        <w:jc w:val="both"/>
        <w:rPr>
          <w:rFonts w:hint="eastAsia" w:ascii="宋体" w:hAnsi="宋体" w:cs="宋体"/>
          <w:szCs w:val="24"/>
          <w:highlight w:val="yellow"/>
        </w:rPr>
      </w:pPr>
      <w:r>
        <w:t>算力是数字经济的重要基础能力。随着AI技术快速发展，算力需求正在从单一云端训练向“云—边—端”协同转变。大型数据中心主要承担大模型训练、超算和批量计算任务，县域边缘算力则更适合承担本地推理、实时识别、数据预处理和行业小模型应用[3][9][10][11]。</w:t>
      </w:r>
    </w:p>
    <w:p w14:paraId="036F7E8D">
      <w:pPr>
        <w:pStyle w:val="30"/>
        <w:spacing w:beforeAutospacing="0" w:afterAutospacing="0" w:line="360" w:lineRule="auto"/>
        <w:ind w:firstLine="480" w:firstLineChars="200"/>
        <w:jc w:val="both"/>
        <w:rPr>
          <w:rFonts w:hint="eastAsia" w:ascii="宋体" w:hAnsi="宋体" w:cs="宋体"/>
          <w:szCs w:val="24"/>
        </w:rPr>
      </w:pPr>
      <w:r>
        <w:t>从技术演进看，轻量化AI、边缘NPU、模型剪枝、量化和蒸馏等技术可在精度与资源约束下显著降低边缘部署门槛，使部分原本依赖云端GPU的AI模型能够经适配后部署在边缘NPU芯片或小型算力节点上运行[9][10]。</w:t>
      </w:r>
    </w:p>
    <w:p w14:paraId="6756A244">
      <w:pPr>
        <w:pStyle w:val="30"/>
        <w:keepNext/>
        <w:spacing w:beforeAutospacing="0" w:afterAutospacing="0" w:line="360" w:lineRule="auto"/>
        <w:jc w:val="center"/>
      </w:pPr>
      <w:r>
        <w:drawing>
          <wp:inline distT="0" distB="0" distL="114300" distR="114300">
            <wp:extent cx="5269865" cy="3239770"/>
            <wp:effectExtent l="0" t="0" r="635" b="1143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9"/>
                    <a:stretch>
                      <a:fillRect/>
                    </a:stretch>
                  </pic:blipFill>
                  <pic:spPr>
                    <a:xfrm>
                      <a:off x="0" y="0"/>
                      <a:ext cx="5269865" cy="3239770"/>
                    </a:xfrm>
                    <a:prstGeom prst="rect">
                      <a:avLst/>
                    </a:prstGeom>
                    <a:noFill/>
                    <a:ln>
                      <a:noFill/>
                    </a:ln>
                  </pic:spPr>
                </pic:pic>
              </a:graphicData>
            </a:graphic>
          </wp:inline>
        </w:drawing>
      </w:r>
    </w:p>
    <w:p w14:paraId="019BE9A4">
      <w:pPr>
        <w:pStyle w:val="30"/>
        <w:spacing w:before="80" w:beforeAutospacing="0" w:after="40" w:afterAutospacing="0" w:line="240" w:lineRule="auto"/>
        <w:ind w:firstLine="420" w:firstLineChars="200"/>
        <w:jc w:val="center"/>
        <w:rPr>
          <w:rFonts w:hint="eastAsia" w:ascii="宋体" w:hAnsi="宋体" w:cs="宋体"/>
          <w:b/>
          <w:bCs/>
          <w:sz w:val="18"/>
          <w:szCs w:val="18"/>
        </w:rPr>
      </w:pPr>
      <w:r>
        <w:rPr>
          <w:color w:val="000000"/>
          <w:sz w:val="21"/>
        </w:rPr>
        <w:t>图1-</w:t>
      </w:r>
      <w:r>
        <w:rPr>
          <w:rFonts w:hint="eastAsia"/>
          <w:color w:val="000000"/>
          <w:sz w:val="21"/>
          <w:lang w:val="en-US" w:eastAsia="zh-CN"/>
        </w:rPr>
        <w:t>3</w:t>
      </w:r>
      <w:r>
        <w:rPr>
          <w:color w:val="000000"/>
          <w:sz w:val="21"/>
        </w:rPr>
        <w:t xml:space="preserve"> 2024—2035年AI算力结构演进趋势图</w:t>
      </w:r>
    </w:p>
    <w:p w14:paraId="555EF15F">
      <w:pPr>
        <w:pStyle w:val="30"/>
        <w:spacing w:beforeAutospacing="0" w:afterAutospacing="0" w:line="360" w:lineRule="auto"/>
        <w:ind w:firstLine="480" w:firstLineChars="200"/>
        <w:jc w:val="both"/>
      </w:pPr>
      <w:r>
        <w:t>图1-</w:t>
      </w:r>
      <w:r>
        <w:rPr>
          <w:rFonts w:hint="eastAsia"/>
          <w:lang w:val="en-US" w:eastAsia="zh-CN"/>
        </w:rPr>
        <w:t>3</w:t>
      </w:r>
      <w:r>
        <w:t>反映了AI算力结构由云端集中向边缘侧扩展的趋势。随着边缘NPU、轻量化模型和行业小模型的发展，部分推理与数据预处理任务可在靠近场景侧的节点完成。该趋势表明，县域边缘算力不是对大型云端算力的替代，而是对集中式算力体系的补充和延伸，重点服务靠近场景、靠近数据、靠近能源的轻量化AI任务[9][10]。</w:t>
      </w:r>
    </w:p>
    <w:p w14:paraId="365EBD94">
      <w:pPr>
        <w:pStyle w:val="30"/>
        <w:spacing w:beforeAutospacing="0" w:afterAutospacing="0" w:line="360" w:lineRule="auto"/>
        <w:ind w:firstLine="480" w:firstLineChars="200"/>
        <w:jc w:val="both"/>
      </w:pPr>
      <w:r>
        <w:t>县域轻量化AI需求主要集中在工业制造、农业生产、能源运维和公共治理等领域。工业质检、设备告警、能源故障预警等任务实时性较强，需要优先保障；能耗分析、批量质检、农业历史数据分析、巡检视频分析等任务具有一定延迟容忍度，可作为弹性任务或温冷任务参与绿电匹配调度。因此，县域边缘算力不仅提供AI服务能力，也为“算随电走”提供了可分级、可调度的任务结构[9][10]。</w:t>
      </w:r>
    </w:p>
    <w:p w14:paraId="6B9BA391">
      <w:pPr>
        <w:pStyle w:val="30"/>
        <w:keepNext/>
        <w:spacing w:before="160" w:beforeAutospacing="0" w:after="120" w:afterAutospacing="0" w:line="288" w:lineRule="auto"/>
        <w:rPr>
          <w:rFonts w:hint="eastAsia" w:ascii="黑体" w:hAnsi="黑体" w:eastAsia="黑体" w:cs="黑体"/>
          <w:b/>
          <w:bCs/>
          <w:sz w:val="28"/>
          <w:szCs w:val="28"/>
        </w:rPr>
      </w:pPr>
      <w:r>
        <w:rPr>
          <w:rFonts w:eastAsia="黑体"/>
          <w:b/>
          <w:color w:val="000000"/>
        </w:rPr>
        <w:t>1.4.3 产业侧基础：县域应用场景与新业态培育潜力</w:t>
      </w:r>
    </w:p>
    <w:p w14:paraId="4CDED27C">
      <w:pPr>
        <w:pStyle w:val="30"/>
        <w:spacing w:beforeAutospacing="0" w:afterAutospacing="0" w:line="360" w:lineRule="auto"/>
        <w:ind w:firstLine="480" w:firstLineChars="200"/>
        <w:jc w:val="both"/>
        <w:rPr>
          <w:rFonts w:hint="eastAsia" w:ascii="宋体" w:hAnsi="宋体" w:cs="宋体"/>
        </w:rPr>
      </w:pPr>
      <w:r>
        <w:t>县域算电协同边缘算力产业不仅是能源与算力的技术融合，也是县域产业数字化、绿色化和服务化升级的重要抓手。县域产业以中小企业、传统制造业、农业和本地服务业为主体，普遍存在数字化水平偏低、绿色转型压力较大、专业技术能力不足和转型成本较高等问题。“绿电+边缘算力+轻量化AI”的融合模式，可为县域产业提供低成本、本地化、低时延的数字化服务供给[11]。</w:t>
      </w:r>
    </w:p>
    <w:p w14:paraId="1B3DAC9A">
      <w:pPr>
        <w:pStyle w:val="30"/>
        <w:spacing w:beforeAutospacing="0" w:afterAutospacing="0" w:line="360" w:lineRule="auto"/>
        <w:ind w:firstLine="480" w:firstLineChars="200"/>
        <w:jc w:val="both"/>
        <w:rPr>
          <w:rFonts w:hint="eastAsia" w:ascii="宋体" w:hAnsi="宋体" w:cs="宋体"/>
        </w:rPr>
      </w:pPr>
      <w:r>
        <w:t>从应用场景看，工业领域需要AI视觉质检、设备运维和能耗管理；农业领域需要病虫害识别、长势监测、智慧养殖和农产品分拣；能源运维领域需要配网巡检、故障预警和隐患识别；公共治理领域需要交通识别、生态监测、违建巡查和乡村安防。这些场景具有节点分散、数据本地化和算力需求适中等特点，与县域边缘算力节点具有较高匹配度[9][10][11]。</w:t>
      </w:r>
    </w:p>
    <w:p w14:paraId="28134359">
      <w:pPr>
        <w:pStyle w:val="30"/>
        <w:spacing w:beforeAutospacing="0" w:afterAutospacing="0" w:line="360" w:lineRule="auto"/>
        <w:ind w:firstLine="480" w:firstLineChars="200"/>
        <w:jc w:val="both"/>
        <w:rPr>
          <w:rFonts w:hint="eastAsia" w:ascii="宋体" w:hAnsi="宋体" w:cs="宋体"/>
        </w:rPr>
      </w:pPr>
      <w:r>
        <w:rPr>
          <w:rFonts w:hint="eastAsia" w:cs="宋体"/>
          <w:color w:val="000000"/>
        </w:rPr>
        <w:t>在产业生态层面，县域算电协同边缘算力产业可带动“绿电供应—算力运营—AI应用—储能协同—能源管理—碳管理”等环节协同发展。为了展示该产业的主体关系和生态结构，可在此处放置县域算电协同边缘算力产业生态图谱。</w:t>
      </w:r>
    </w:p>
    <w:p w14:paraId="060B780A">
      <w:pPr>
        <w:pStyle w:val="30"/>
        <w:spacing w:beforeAutospacing="0" w:afterAutospacing="0" w:line="360" w:lineRule="auto"/>
        <w:jc w:val="center"/>
      </w:pPr>
      <w:r>
        <w:object>
          <v:shape id="_x0000_i1025" o:spt="75" type="#_x0000_t75" style="height:263pt;width:284.5pt;" o:ole="t" filled="f" o:preferrelative="t" stroked="f" coordsize="21600,21600">
            <v:path/>
            <v:fill on="f" focussize="0,0"/>
            <v:stroke on="f" joinstyle="miter"/>
            <v:imagedata r:id="rId11" o:title=""/>
            <o:lock v:ext="edit" aspectratio="f"/>
            <w10:wrap type="none"/>
            <w10:anchorlock/>
          </v:shape>
          <o:OLEObject Type="Embed" ProgID="Visio.Drawing.15" ShapeID="_x0000_i1025" DrawAspect="Content" ObjectID="_1468075725" r:id="rId10">
            <o:LockedField>false</o:LockedField>
          </o:OLEObject>
        </w:object>
      </w:r>
    </w:p>
    <w:p w14:paraId="0108CEC9">
      <w:pPr>
        <w:pStyle w:val="30"/>
        <w:spacing w:before="80" w:beforeAutospacing="0" w:after="40" w:afterAutospacing="0" w:line="240" w:lineRule="auto"/>
        <w:jc w:val="center"/>
        <w:rPr>
          <w:rFonts w:hint="eastAsia" w:ascii="宋体" w:hAnsi="宋体" w:cs="宋体"/>
          <w:b/>
          <w:bCs/>
          <w:sz w:val="18"/>
          <w:szCs w:val="18"/>
        </w:rPr>
      </w:pPr>
      <w:r>
        <w:rPr>
          <w:color w:val="000000"/>
          <w:sz w:val="21"/>
        </w:rPr>
        <w:t>图1-</w:t>
      </w:r>
      <w:r>
        <w:rPr>
          <w:rFonts w:hint="eastAsia"/>
          <w:color w:val="000000"/>
          <w:sz w:val="21"/>
          <w:lang w:val="en-US" w:eastAsia="zh-CN"/>
        </w:rPr>
        <w:t>4</w:t>
      </w:r>
      <w:r>
        <w:rPr>
          <w:color w:val="000000"/>
          <w:sz w:val="21"/>
        </w:rPr>
        <w:t xml:space="preserve"> 县域算电协同边缘算力产业生态图谱</w:t>
      </w:r>
    </w:p>
    <w:p w14:paraId="49F19C82">
      <w:pPr>
        <w:pStyle w:val="30"/>
        <w:spacing w:beforeAutospacing="0" w:afterAutospacing="0" w:line="360" w:lineRule="auto"/>
        <w:ind w:firstLine="480" w:firstLineChars="200"/>
        <w:jc w:val="both"/>
      </w:pPr>
      <w:r>
        <w:rPr>
          <w:color w:val="000000"/>
        </w:rPr>
        <w:t>图1-</w:t>
      </w:r>
      <w:r>
        <w:rPr>
          <w:rFonts w:hint="eastAsia"/>
          <w:color w:val="000000"/>
          <w:lang w:val="en-US" w:eastAsia="zh-CN"/>
        </w:rPr>
        <w:t>4</w:t>
      </w:r>
      <w:r>
        <w:rPr>
          <w:color w:val="000000"/>
        </w:rPr>
        <w:t>展示了县域算电协同边缘算力产业的生态构成。图中以边缘算力节点为核心，将绿电企业、电网企业、算力运营商、AI服务商、储能服务商和碳管理机构等主体纳入同一产业网络，形成能源流、算力流、数据流和碳管理流的协同关系。该模式可带动边缘算力节点建设与运维、轻量化AI应用服务、储能集成与运营、算电协同调度、碳排放核算和绿证交易咨询等新业态，具备培育县域绿色低碳生产性服务业的潜力。</w:t>
      </w:r>
    </w:p>
    <w:p w14:paraId="550DF680">
      <w:pPr>
        <w:pStyle w:val="30"/>
        <w:spacing w:beforeAutospacing="0" w:afterAutospacing="0" w:line="360" w:lineRule="auto"/>
        <w:ind w:firstLine="480" w:firstLineChars="200"/>
        <w:jc w:val="both"/>
        <w:rPr>
          <w:rFonts w:hint="eastAsia" w:ascii="宋体" w:hAnsi="宋体" w:cs="宋体"/>
          <w:b/>
          <w:bCs/>
          <w:sz w:val="18"/>
          <w:szCs w:val="18"/>
        </w:rPr>
      </w:pPr>
      <w:r>
        <w:rPr>
          <w:color w:val="000000"/>
        </w:rPr>
        <w:t>综合来看，县域发展算电协同边缘算力产业具备能源侧、算力侧和产业侧的多重基础。能源侧提供分布式绿电资源和就地消纳需求，算力侧提供边缘AI任务和弹性调度对象，产业侧提供应用场景和生态培育空间。三者相互支撑，使“算随电走”不仅是能源系统中的负荷调节机制，也成为县域绿色算力供给、轻量化AI服务下沉和低碳新业态培育的综合载体。</w:t>
      </w:r>
    </w:p>
    <w:p w14:paraId="13B6788D">
      <w:pPr>
        <w:keepNext/>
        <w:spacing w:before="160" w:after="120" w:line="288" w:lineRule="auto"/>
        <w:rPr>
          <w:lang w:eastAsia="zh-CN"/>
        </w:rPr>
      </w:pPr>
      <w:r>
        <w:rPr>
          <w:rFonts w:eastAsia="黑体"/>
          <w:b/>
          <w:color w:val="000000"/>
          <w:sz w:val="30"/>
          <w:lang w:eastAsia="zh-CN"/>
        </w:rPr>
        <w:t>1.5 县域适配条件与类型分类</w:t>
      </w:r>
    </w:p>
    <w:p w14:paraId="5A3B69DA">
      <w:pPr>
        <w:spacing w:after="0" w:line="360" w:lineRule="auto"/>
        <w:ind w:firstLine="480" w:firstLineChars="200"/>
        <w:jc w:val="both"/>
        <w:rPr>
          <w:rFonts w:hint="eastAsia" w:ascii="宋体" w:hAnsi="宋体" w:cs="宋体"/>
          <w:szCs w:val="24"/>
          <w:lang w:eastAsia="zh-CN"/>
        </w:rPr>
      </w:pPr>
      <w:r>
        <w:rPr>
          <w:lang w:eastAsia="zh-CN"/>
        </w:rPr>
        <w:t>县域算电协同边缘算力的推广不宜采用单一模式，而应依据资源禀赋、负荷特征、应用需求和运维条件进行分类适配。适合优先试点的县域应具备较好的分布式绿电资源基础、相对可行的电网接入条件、稳定的通信网络基础、明确的本地AI应用需求以及可持续的运营主体。只有能源供给、算力需求、网络条件和组织保障之间形成基本匹配，边缘算力节点才能稳定发挥绿电消纳、低碳算力供给和本地智能服务支撑作用[8][9]。</w:t>
      </w:r>
    </w:p>
    <w:p w14:paraId="3458A59D">
      <w:pPr>
        <w:keepNext/>
        <w:spacing w:before="80" w:after="40" w:line="240" w:lineRule="auto"/>
        <w:jc w:val="center"/>
        <w:rPr>
          <w:lang w:eastAsia="zh-CN"/>
        </w:rPr>
      </w:pPr>
      <w:r>
        <w:rPr>
          <w:b/>
          <w:color w:val="000000"/>
          <w:sz w:val="21"/>
        </w:rPr>
        <w:t>表1-</w:t>
      </w:r>
      <w:r>
        <w:rPr>
          <w:rFonts w:hint="eastAsia"/>
          <w:b/>
          <w:color w:val="000000"/>
          <w:sz w:val="21"/>
          <w:lang w:val="en-US" w:eastAsia="zh-CN"/>
        </w:rPr>
        <w:t>5</w:t>
      </w:r>
      <w:r>
        <w:rPr>
          <w:b/>
          <w:color w:val="000000"/>
          <w:sz w:val="21"/>
        </w:rPr>
        <w:t xml:space="preserve"> 县域适配条件表</w:t>
      </w:r>
    </w:p>
    <w:tbl>
      <w:tblPr>
        <w:tblStyle w:val="33"/>
        <w:tblW w:w="0" w:type="auto"/>
        <w:jc w:val="center"/>
        <w:tblLayout w:type="autofit"/>
        <w:tblCellMar>
          <w:top w:w="0" w:type="dxa"/>
          <w:left w:w="108" w:type="dxa"/>
          <w:bottom w:w="0" w:type="dxa"/>
          <w:right w:w="108" w:type="dxa"/>
        </w:tblCellMar>
      </w:tblPr>
      <w:tblGrid>
        <w:gridCol w:w="1701"/>
        <w:gridCol w:w="3685"/>
        <w:gridCol w:w="3118"/>
      </w:tblGrid>
      <w:tr w14:paraId="1FAF1C47">
        <w:tblPrEx>
          <w:tblCellMar>
            <w:top w:w="0" w:type="dxa"/>
            <w:left w:w="108" w:type="dxa"/>
            <w:bottom w:w="0" w:type="dxa"/>
            <w:right w:w="108" w:type="dxa"/>
          </w:tblCellMar>
        </w:tblPrEx>
        <w:trPr>
          <w:tblHeader/>
          <w:jc w:val="center"/>
        </w:trPr>
        <w:tc>
          <w:tcPr>
            <w:tcW w:w="1701"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47D65492">
            <w:pPr>
              <w:spacing w:after="0" w:line="240" w:lineRule="auto"/>
              <w:jc w:val="center"/>
            </w:pPr>
            <w:r>
              <w:rPr>
                <w:b/>
                <w:color w:val="000000"/>
                <w:sz w:val="21"/>
              </w:rPr>
              <w:t>评价维度</w:t>
            </w:r>
          </w:p>
        </w:tc>
        <w:tc>
          <w:tcPr>
            <w:tcW w:w="3685"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04774B65">
            <w:pPr>
              <w:spacing w:after="0" w:line="240" w:lineRule="auto"/>
              <w:jc w:val="center"/>
            </w:pPr>
            <w:r>
              <w:rPr>
                <w:b/>
                <w:color w:val="000000"/>
                <w:sz w:val="21"/>
              </w:rPr>
              <w:t>主要判定内容</w:t>
            </w:r>
          </w:p>
        </w:tc>
        <w:tc>
          <w:tcPr>
            <w:tcW w:w="3118"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6F9419CF">
            <w:pPr>
              <w:spacing w:after="0" w:line="240" w:lineRule="auto"/>
              <w:jc w:val="center"/>
            </w:pPr>
            <w:r>
              <w:rPr>
                <w:b/>
                <w:color w:val="000000"/>
                <w:sz w:val="21"/>
              </w:rPr>
              <w:t>适配意义</w:t>
            </w:r>
          </w:p>
        </w:tc>
      </w:tr>
      <w:tr w14:paraId="3FFD5616">
        <w:tblPrEx>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90" w:type="dxa"/>
              <w:bottom w:w="80" w:type="dxa"/>
              <w:right w:w="90" w:type="dxa"/>
            </w:tcMar>
            <w:vAlign w:val="center"/>
          </w:tcPr>
          <w:p w14:paraId="1BDC8FDC">
            <w:pPr>
              <w:spacing w:after="0" w:line="240" w:lineRule="auto"/>
              <w:jc w:val="center"/>
            </w:pPr>
            <w:r>
              <w:rPr>
                <w:color w:val="000000"/>
                <w:sz w:val="21"/>
              </w:rPr>
              <w:t>分布式绿电资源</w:t>
            </w:r>
          </w:p>
        </w:tc>
        <w:tc>
          <w:tcPr>
            <w:tcW w:w="3685" w:type="dxa"/>
            <w:tcBorders>
              <w:top w:val="nil"/>
              <w:left w:val="nil"/>
              <w:bottom w:val="nil"/>
              <w:right w:val="nil"/>
            </w:tcBorders>
            <w:tcMar>
              <w:top w:w="80" w:type="dxa"/>
              <w:left w:w="90" w:type="dxa"/>
              <w:bottom w:w="80" w:type="dxa"/>
              <w:right w:w="90" w:type="dxa"/>
            </w:tcMar>
            <w:vAlign w:val="center"/>
          </w:tcPr>
          <w:p w14:paraId="7787AA02">
            <w:pPr>
              <w:spacing w:after="0" w:line="240" w:lineRule="auto"/>
              <w:rPr>
                <w:lang w:eastAsia="zh-CN"/>
              </w:rPr>
            </w:pPr>
            <w:r>
              <w:rPr>
                <w:color w:val="000000"/>
                <w:sz w:val="21"/>
                <w:lang w:eastAsia="zh-CN"/>
              </w:rPr>
              <w:t>光伏、小水电、风电、生物质等资源规模及出力特性</w:t>
            </w:r>
          </w:p>
        </w:tc>
        <w:tc>
          <w:tcPr>
            <w:tcW w:w="3118" w:type="dxa"/>
            <w:tcBorders>
              <w:top w:val="nil"/>
              <w:left w:val="nil"/>
              <w:bottom w:val="nil"/>
              <w:right w:val="nil"/>
            </w:tcBorders>
            <w:tcMar>
              <w:top w:w="80" w:type="dxa"/>
              <w:left w:w="90" w:type="dxa"/>
              <w:bottom w:w="80" w:type="dxa"/>
              <w:right w:w="90" w:type="dxa"/>
            </w:tcMar>
            <w:vAlign w:val="center"/>
          </w:tcPr>
          <w:p w14:paraId="2A920CAF">
            <w:pPr>
              <w:spacing w:after="0" w:line="240" w:lineRule="auto"/>
              <w:jc w:val="center"/>
              <w:rPr>
                <w:lang w:eastAsia="zh-CN"/>
              </w:rPr>
            </w:pPr>
            <w:r>
              <w:rPr>
                <w:color w:val="000000"/>
                <w:sz w:val="21"/>
                <w:lang w:eastAsia="zh-CN"/>
              </w:rPr>
              <w:t>决定本地绿电供给基础</w:t>
            </w:r>
          </w:p>
        </w:tc>
      </w:tr>
      <w:tr w14:paraId="27F66F64">
        <w:tblPrEx>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90" w:type="dxa"/>
              <w:bottom w:w="80" w:type="dxa"/>
              <w:right w:w="90" w:type="dxa"/>
            </w:tcMar>
            <w:vAlign w:val="center"/>
          </w:tcPr>
          <w:p w14:paraId="74DC72E4">
            <w:pPr>
              <w:spacing w:after="0" w:line="240" w:lineRule="auto"/>
              <w:jc w:val="center"/>
            </w:pPr>
            <w:r>
              <w:rPr>
                <w:color w:val="000000"/>
                <w:sz w:val="21"/>
              </w:rPr>
              <w:t>电网接入条件</w:t>
            </w:r>
          </w:p>
        </w:tc>
        <w:tc>
          <w:tcPr>
            <w:tcW w:w="3685" w:type="dxa"/>
            <w:tcBorders>
              <w:top w:val="nil"/>
              <w:left w:val="nil"/>
              <w:bottom w:val="nil"/>
              <w:right w:val="nil"/>
            </w:tcBorders>
            <w:tcMar>
              <w:top w:w="80" w:type="dxa"/>
              <w:left w:w="90" w:type="dxa"/>
              <w:bottom w:w="80" w:type="dxa"/>
              <w:right w:w="90" w:type="dxa"/>
            </w:tcMar>
            <w:vAlign w:val="center"/>
          </w:tcPr>
          <w:p w14:paraId="48307A0E">
            <w:pPr>
              <w:spacing w:after="0" w:line="240" w:lineRule="auto"/>
              <w:rPr>
                <w:lang w:eastAsia="zh-CN"/>
              </w:rPr>
            </w:pPr>
            <w:r>
              <w:rPr>
                <w:color w:val="000000"/>
                <w:sz w:val="21"/>
                <w:lang w:eastAsia="zh-CN"/>
              </w:rPr>
              <w:t>配网容量、接入限制、消纳空间和备用供电能力</w:t>
            </w:r>
          </w:p>
        </w:tc>
        <w:tc>
          <w:tcPr>
            <w:tcW w:w="3118" w:type="dxa"/>
            <w:tcBorders>
              <w:top w:val="nil"/>
              <w:left w:val="nil"/>
              <w:bottom w:val="nil"/>
              <w:right w:val="nil"/>
            </w:tcBorders>
            <w:tcMar>
              <w:top w:w="80" w:type="dxa"/>
              <w:left w:w="90" w:type="dxa"/>
              <w:bottom w:w="80" w:type="dxa"/>
              <w:right w:w="90" w:type="dxa"/>
            </w:tcMar>
            <w:vAlign w:val="center"/>
          </w:tcPr>
          <w:p w14:paraId="06C75437">
            <w:pPr>
              <w:spacing w:after="0" w:line="240" w:lineRule="auto"/>
              <w:rPr>
                <w:lang w:eastAsia="zh-CN"/>
              </w:rPr>
            </w:pPr>
            <w:r>
              <w:rPr>
                <w:color w:val="000000"/>
                <w:sz w:val="21"/>
                <w:lang w:eastAsia="zh-CN"/>
              </w:rPr>
              <w:t>决定算力节点接入可行性</w:t>
            </w:r>
          </w:p>
        </w:tc>
      </w:tr>
      <w:tr w14:paraId="32082154">
        <w:tblPrEx>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90" w:type="dxa"/>
              <w:bottom w:w="80" w:type="dxa"/>
              <w:right w:w="90" w:type="dxa"/>
            </w:tcMar>
            <w:vAlign w:val="center"/>
          </w:tcPr>
          <w:p w14:paraId="341C05A7">
            <w:pPr>
              <w:spacing w:after="0" w:line="240" w:lineRule="auto"/>
              <w:jc w:val="center"/>
            </w:pPr>
            <w:r>
              <w:rPr>
                <w:color w:val="000000"/>
                <w:sz w:val="21"/>
              </w:rPr>
              <w:t>通信网络基础</w:t>
            </w:r>
          </w:p>
        </w:tc>
        <w:tc>
          <w:tcPr>
            <w:tcW w:w="3685" w:type="dxa"/>
            <w:tcBorders>
              <w:top w:val="nil"/>
              <w:left w:val="nil"/>
              <w:bottom w:val="nil"/>
              <w:right w:val="nil"/>
            </w:tcBorders>
            <w:tcMar>
              <w:top w:w="80" w:type="dxa"/>
              <w:left w:w="90" w:type="dxa"/>
              <w:bottom w:w="80" w:type="dxa"/>
              <w:right w:w="90" w:type="dxa"/>
            </w:tcMar>
            <w:vAlign w:val="center"/>
          </w:tcPr>
          <w:p w14:paraId="3211A598">
            <w:pPr>
              <w:spacing w:after="0" w:line="240" w:lineRule="auto"/>
              <w:rPr>
                <w:lang w:eastAsia="zh-CN"/>
              </w:rPr>
            </w:pPr>
            <w:r>
              <w:rPr>
                <w:color w:val="000000"/>
                <w:sz w:val="21"/>
                <w:lang w:eastAsia="zh-CN"/>
              </w:rPr>
              <w:t>5G、光纤、互联网出口和网络时延</w:t>
            </w:r>
          </w:p>
        </w:tc>
        <w:tc>
          <w:tcPr>
            <w:tcW w:w="3118" w:type="dxa"/>
            <w:tcBorders>
              <w:top w:val="nil"/>
              <w:left w:val="nil"/>
              <w:bottom w:val="nil"/>
              <w:right w:val="nil"/>
            </w:tcBorders>
            <w:tcMar>
              <w:top w:w="80" w:type="dxa"/>
              <w:left w:w="90" w:type="dxa"/>
              <w:bottom w:w="80" w:type="dxa"/>
              <w:right w:w="90" w:type="dxa"/>
            </w:tcMar>
            <w:vAlign w:val="center"/>
          </w:tcPr>
          <w:p w14:paraId="6A0A8E75">
            <w:pPr>
              <w:spacing w:after="0" w:line="240" w:lineRule="auto"/>
              <w:rPr>
                <w:lang w:eastAsia="zh-CN"/>
              </w:rPr>
            </w:pPr>
            <w:r>
              <w:rPr>
                <w:color w:val="000000"/>
                <w:sz w:val="21"/>
                <w:lang w:eastAsia="zh-CN"/>
              </w:rPr>
              <w:t>支撑边缘计算与数据传输</w:t>
            </w:r>
          </w:p>
        </w:tc>
      </w:tr>
      <w:tr w14:paraId="4E6DA562">
        <w:tblPrEx>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90" w:type="dxa"/>
              <w:bottom w:w="80" w:type="dxa"/>
              <w:right w:w="90" w:type="dxa"/>
            </w:tcMar>
            <w:vAlign w:val="center"/>
          </w:tcPr>
          <w:p w14:paraId="7CF372E5">
            <w:pPr>
              <w:spacing w:after="0" w:line="240" w:lineRule="auto"/>
              <w:jc w:val="center"/>
            </w:pPr>
            <w:r>
              <w:rPr>
                <w:color w:val="000000"/>
                <w:sz w:val="21"/>
              </w:rPr>
              <w:t>AI应用需求</w:t>
            </w:r>
          </w:p>
        </w:tc>
        <w:tc>
          <w:tcPr>
            <w:tcW w:w="3685" w:type="dxa"/>
            <w:tcBorders>
              <w:top w:val="nil"/>
              <w:left w:val="nil"/>
              <w:bottom w:val="nil"/>
              <w:right w:val="nil"/>
            </w:tcBorders>
            <w:tcMar>
              <w:top w:w="80" w:type="dxa"/>
              <w:left w:w="90" w:type="dxa"/>
              <w:bottom w:w="80" w:type="dxa"/>
              <w:right w:w="90" w:type="dxa"/>
            </w:tcMar>
            <w:vAlign w:val="center"/>
          </w:tcPr>
          <w:p w14:paraId="228BC42A">
            <w:pPr>
              <w:spacing w:after="0" w:line="240" w:lineRule="auto"/>
              <w:rPr>
                <w:lang w:eastAsia="zh-CN"/>
              </w:rPr>
            </w:pPr>
            <w:r>
              <w:rPr>
                <w:color w:val="000000"/>
                <w:sz w:val="21"/>
                <w:lang w:eastAsia="zh-CN"/>
              </w:rPr>
              <w:t>工业质检、农业识别、能源巡检、公共治理等任务数量</w:t>
            </w:r>
          </w:p>
        </w:tc>
        <w:tc>
          <w:tcPr>
            <w:tcW w:w="3118" w:type="dxa"/>
            <w:tcBorders>
              <w:top w:val="nil"/>
              <w:left w:val="nil"/>
              <w:bottom w:val="nil"/>
              <w:right w:val="nil"/>
            </w:tcBorders>
            <w:tcMar>
              <w:top w:w="80" w:type="dxa"/>
              <w:left w:w="90" w:type="dxa"/>
              <w:bottom w:w="80" w:type="dxa"/>
              <w:right w:w="90" w:type="dxa"/>
            </w:tcMar>
            <w:vAlign w:val="center"/>
          </w:tcPr>
          <w:p w14:paraId="66F1343B">
            <w:pPr>
              <w:spacing w:after="0" w:line="240" w:lineRule="auto"/>
              <w:rPr>
                <w:lang w:eastAsia="zh-CN"/>
              </w:rPr>
            </w:pPr>
            <w:r>
              <w:rPr>
                <w:color w:val="000000"/>
                <w:sz w:val="21"/>
                <w:lang w:eastAsia="zh-CN"/>
              </w:rPr>
              <w:t>决定算力利用率和服务价值</w:t>
            </w:r>
          </w:p>
        </w:tc>
      </w:tr>
      <w:tr w14:paraId="2BAF372F">
        <w:tblPrEx>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90" w:type="dxa"/>
              <w:bottom w:w="80" w:type="dxa"/>
              <w:right w:w="90" w:type="dxa"/>
            </w:tcMar>
            <w:vAlign w:val="center"/>
          </w:tcPr>
          <w:p w14:paraId="5F6E744B">
            <w:pPr>
              <w:spacing w:after="0" w:line="240" w:lineRule="auto"/>
              <w:jc w:val="center"/>
            </w:pPr>
            <w:r>
              <w:rPr>
                <w:color w:val="000000"/>
                <w:sz w:val="21"/>
              </w:rPr>
              <w:t>储能与调节资源</w:t>
            </w:r>
          </w:p>
        </w:tc>
        <w:tc>
          <w:tcPr>
            <w:tcW w:w="3685" w:type="dxa"/>
            <w:tcBorders>
              <w:top w:val="nil"/>
              <w:left w:val="nil"/>
              <w:bottom w:val="nil"/>
              <w:right w:val="nil"/>
            </w:tcBorders>
            <w:tcMar>
              <w:top w:w="80" w:type="dxa"/>
              <w:left w:w="90" w:type="dxa"/>
              <w:bottom w:w="80" w:type="dxa"/>
              <w:right w:w="90" w:type="dxa"/>
            </w:tcMar>
            <w:vAlign w:val="center"/>
          </w:tcPr>
          <w:p w14:paraId="2B705D54">
            <w:pPr>
              <w:spacing w:after="0" w:line="240" w:lineRule="auto"/>
              <w:rPr>
                <w:lang w:eastAsia="zh-CN"/>
              </w:rPr>
            </w:pPr>
            <w:r>
              <w:rPr>
                <w:color w:val="000000"/>
                <w:sz w:val="21"/>
                <w:lang w:eastAsia="zh-CN"/>
              </w:rPr>
              <w:t>储能容量、充电设施、需求响应资源</w:t>
            </w:r>
          </w:p>
        </w:tc>
        <w:tc>
          <w:tcPr>
            <w:tcW w:w="3118" w:type="dxa"/>
            <w:tcBorders>
              <w:top w:val="nil"/>
              <w:left w:val="nil"/>
              <w:bottom w:val="nil"/>
              <w:right w:val="nil"/>
            </w:tcBorders>
            <w:tcMar>
              <w:top w:w="80" w:type="dxa"/>
              <w:left w:w="90" w:type="dxa"/>
              <w:bottom w:w="80" w:type="dxa"/>
              <w:right w:w="90" w:type="dxa"/>
            </w:tcMar>
            <w:vAlign w:val="center"/>
          </w:tcPr>
          <w:p w14:paraId="10B93191">
            <w:pPr>
              <w:spacing w:after="0" w:line="240" w:lineRule="auto"/>
              <w:jc w:val="center"/>
              <w:rPr>
                <w:lang w:eastAsia="zh-CN"/>
              </w:rPr>
            </w:pPr>
            <w:r>
              <w:rPr>
                <w:color w:val="000000"/>
                <w:sz w:val="21"/>
                <w:lang w:eastAsia="zh-CN"/>
              </w:rPr>
              <w:t>增强绿电波动缓冲能力</w:t>
            </w:r>
          </w:p>
        </w:tc>
      </w:tr>
      <w:tr w14:paraId="0C43B3FC">
        <w:tblPrEx>
          <w:tblCellMar>
            <w:top w:w="0" w:type="dxa"/>
            <w:left w:w="108" w:type="dxa"/>
            <w:bottom w:w="0" w:type="dxa"/>
            <w:right w:w="108" w:type="dxa"/>
          </w:tblCellMar>
        </w:tblPrEx>
        <w:trPr>
          <w:jc w:val="center"/>
        </w:trPr>
        <w:tc>
          <w:tcPr>
            <w:tcW w:w="1701" w:type="dxa"/>
            <w:tcBorders>
              <w:top w:val="nil"/>
              <w:left w:val="nil"/>
              <w:bottom w:val="single" w:color="000000" w:sz="12" w:space="0"/>
              <w:right w:val="nil"/>
            </w:tcBorders>
            <w:tcMar>
              <w:top w:w="80" w:type="dxa"/>
              <w:left w:w="90" w:type="dxa"/>
              <w:bottom w:w="80" w:type="dxa"/>
              <w:right w:w="90" w:type="dxa"/>
            </w:tcMar>
            <w:vAlign w:val="center"/>
          </w:tcPr>
          <w:p w14:paraId="7BE4BFB1">
            <w:pPr>
              <w:spacing w:after="0" w:line="240" w:lineRule="auto"/>
              <w:jc w:val="center"/>
            </w:pPr>
            <w:r>
              <w:rPr>
                <w:color w:val="000000"/>
                <w:sz w:val="21"/>
              </w:rPr>
              <w:t>运营与政策条件</w:t>
            </w:r>
          </w:p>
        </w:tc>
        <w:tc>
          <w:tcPr>
            <w:tcW w:w="3685" w:type="dxa"/>
            <w:tcBorders>
              <w:top w:val="nil"/>
              <w:left w:val="nil"/>
              <w:bottom w:val="single" w:color="000000" w:sz="12" w:space="0"/>
              <w:right w:val="nil"/>
            </w:tcBorders>
            <w:tcMar>
              <w:top w:w="80" w:type="dxa"/>
              <w:left w:w="90" w:type="dxa"/>
              <w:bottom w:w="80" w:type="dxa"/>
              <w:right w:w="90" w:type="dxa"/>
            </w:tcMar>
            <w:vAlign w:val="center"/>
          </w:tcPr>
          <w:p w14:paraId="119ADD4B">
            <w:pPr>
              <w:spacing w:after="0" w:line="240" w:lineRule="auto"/>
              <w:rPr>
                <w:lang w:eastAsia="zh-CN"/>
              </w:rPr>
            </w:pPr>
            <w:r>
              <w:rPr>
                <w:color w:val="000000"/>
                <w:sz w:val="21"/>
                <w:lang w:eastAsia="zh-CN"/>
              </w:rPr>
              <w:t>运营主体、运维能力、地方政策、投资回收潜力</w:t>
            </w:r>
          </w:p>
        </w:tc>
        <w:tc>
          <w:tcPr>
            <w:tcW w:w="3118" w:type="dxa"/>
            <w:tcBorders>
              <w:top w:val="nil"/>
              <w:left w:val="nil"/>
              <w:bottom w:val="single" w:color="000000" w:sz="12" w:space="0"/>
              <w:right w:val="nil"/>
            </w:tcBorders>
            <w:tcMar>
              <w:top w:w="80" w:type="dxa"/>
              <w:left w:w="90" w:type="dxa"/>
              <w:bottom w:w="80" w:type="dxa"/>
              <w:right w:w="90" w:type="dxa"/>
            </w:tcMar>
            <w:vAlign w:val="center"/>
          </w:tcPr>
          <w:p w14:paraId="7D28409D">
            <w:pPr>
              <w:spacing w:after="0" w:line="240" w:lineRule="auto"/>
              <w:jc w:val="center"/>
            </w:pPr>
            <w:r>
              <w:rPr>
                <w:color w:val="000000"/>
                <w:sz w:val="21"/>
              </w:rPr>
              <w:t>决定长期可持续运行</w:t>
            </w:r>
          </w:p>
        </w:tc>
      </w:tr>
    </w:tbl>
    <w:p w14:paraId="1C5C8239">
      <w:pPr>
        <w:pStyle w:val="30"/>
        <w:spacing w:beforeAutospacing="0" w:afterAutospacing="0" w:line="360" w:lineRule="auto"/>
        <w:ind w:firstLine="480" w:firstLineChars="200"/>
        <w:jc w:val="both"/>
        <w:rPr>
          <w:rFonts w:hint="eastAsia" w:ascii="宋体" w:hAnsi="宋体" w:cs="宋体"/>
        </w:rPr>
      </w:pPr>
      <w:r>
        <w:t>由表1-</w:t>
      </w:r>
      <w:r>
        <w:rPr>
          <w:rFonts w:hint="eastAsia"/>
          <w:lang w:val="en-US" w:eastAsia="zh-CN"/>
        </w:rPr>
        <w:t>5</w:t>
      </w:r>
      <w:r>
        <w:t>可见，县域算电协同边缘算力产业的适配性取决于多类条件的协同，而不是单一资源优势。其中，分布式绿电资源决定绿色算力供给基础，电网接入条件决定算力节点能否安全稳定运行，通信网络基础决定边缘计算任务的传输效率，AI应用需求决定算力节点的利用率和服务价值，储能与调节资源决定系统对绿电波动的缓冲能力，运营与政策条件则影响项目的长期可持续性[8][9]。</w:t>
      </w:r>
    </w:p>
    <w:p w14:paraId="23FC769C">
      <w:pPr>
        <w:pStyle w:val="30"/>
        <w:spacing w:beforeAutospacing="0" w:afterAutospacing="0" w:line="360" w:lineRule="auto"/>
        <w:ind w:firstLine="480" w:firstLineChars="200"/>
        <w:jc w:val="both"/>
        <w:rPr>
          <w:rFonts w:hint="eastAsia" w:ascii="宋体" w:hAnsi="宋体" w:cs="宋体"/>
        </w:rPr>
      </w:pPr>
      <w:r>
        <w:rPr>
          <w:rFonts w:hint="eastAsia" w:cs="宋体"/>
          <w:color w:val="000000"/>
        </w:rPr>
        <w:t>根据资源禀赋和应用需求差异，可将县域初步划分为分布式光伏型、小水电资源型、工业园区型、农业资源型、山区绿色能源型和生态治理需求型等类型。不同类型县域的适配重点有所不同：分布式光伏型县域应重点关注午间富余绿电消纳与弹性算力任务匹配；小水电资源型县域可侧重稳定绿电供给与连续算力服务；工业园区型县域适合围绕工业质检、能耗分析和设备运维布局边缘算力节点；农业资源型县域可重点服务病虫害识别、作物监测和农产品分拣；生态治理需求型县域则可围绕环境监测、森林防火、河道巡检和基层治理形成AI应用场景。</w:t>
      </w:r>
    </w:p>
    <w:p w14:paraId="275F1777">
      <w:pPr>
        <w:keepNext/>
        <w:spacing w:before="160" w:after="120" w:line="288" w:lineRule="auto"/>
        <w:rPr>
          <w:lang w:eastAsia="zh-CN"/>
        </w:rPr>
      </w:pPr>
      <w:r>
        <w:rPr>
          <w:rFonts w:eastAsia="黑体"/>
          <w:b/>
          <w:color w:val="000000"/>
          <w:sz w:val="30"/>
          <w:lang w:eastAsia="zh-CN"/>
        </w:rPr>
        <w:t>1.6 产业发展SWOT综合研判</w:t>
      </w:r>
    </w:p>
    <w:p w14:paraId="0613ED13">
      <w:pPr>
        <w:spacing w:after="0" w:line="360" w:lineRule="auto"/>
        <w:ind w:firstLine="480" w:firstLineChars="200"/>
        <w:jc w:val="both"/>
        <w:rPr>
          <w:rFonts w:hint="eastAsia" w:ascii="宋体" w:hAnsi="宋体" w:cs="宋体"/>
          <w:color w:val="0F1115"/>
          <w:szCs w:val="24"/>
          <w:shd w:val="clear" w:color="auto" w:fill="FFFFFF"/>
          <w:lang w:eastAsia="zh-CN"/>
        </w:rPr>
      </w:pPr>
      <w:r>
        <w:rPr>
          <w:color w:val="000000"/>
        </w:rPr>
        <w:t>为进一步判断县域算电协同边缘算力产业的发展条件，本节从内部优势（Strengths）、内部劣势（Weaknesses）、外部机会（Opportunities）和外部威胁（Threats）四个维度开展SWOT分析。</w:t>
      </w:r>
      <w:r>
        <w:rPr>
          <w:color w:val="000000"/>
          <w:lang w:eastAsia="zh-CN"/>
        </w:rPr>
        <w:t>初期投资回收不确定性属于产业培育阶段面临的经济性约束，而非对该方向产业价值的否定；大型云平台竞争、电力市场机制不完善、数据安全风险和县域基础设施差异，是后续试点推进和规模化推广中需要明确应对的边界条件，而非方向本身的不可行性证明。</w:t>
      </w:r>
      <w:r>
        <w:rPr>
          <w:color w:val="000000"/>
        </w:rPr>
        <w:t>表1-</w:t>
      </w:r>
      <w:r>
        <w:rPr>
          <w:rFonts w:hint="eastAsia"/>
          <w:color w:val="000000"/>
          <w:lang w:val="en-US" w:eastAsia="zh-CN"/>
        </w:rPr>
        <w:t>6</w:t>
      </w:r>
      <w:r>
        <w:rPr>
          <w:color w:val="000000"/>
        </w:rPr>
        <w:t>给出了四维度分析矩阵。</w:t>
      </w:r>
    </w:p>
    <w:p w14:paraId="457AB843">
      <w:pPr>
        <w:keepNext/>
        <w:spacing w:before="80" w:after="40" w:line="240" w:lineRule="auto"/>
        <w:jc w:val="center"/>
        <w:rPr>
          <w:lang w:eastAsia="zh-CN"/>
        </w:rPr>
      </w:pPr>
      <w:r>
        <w:rPr>
          <w:b/>
          <w:color w:val="000000"/>
          <w:sz w:val="21"/>
        </w:rPr>
        <w:t>表1-</w:t>
      </w:r>
      <w:r>
        <w:rPr>
          <w:rFonts w:hint="eastAsia"/>
          <w:b/>
          <w:color w:val="000000"/>
          <w:sz w:val="21"/>
          <w:lang w:val="en-US" w:eastAsia="zh-CN"/>
        </w:rPr>
        <w:t>6</w:t>
      </w:r>
      <w:r>
        <w:rPr>
          <w:b/>
          <w:color w:val="000000"/>
          <w:sz w:val="21"/>
        </w:rPr>
        <w:t xml:space="preserve"> SWOT 分析矩阵</w:t>
      </w:r>
    </w:p>
    <w:tbl>
      <w:tblPr>
        <w:tblStyle w:val="33"/>
        <w:tblW w:w="0" w:type="auto"/>
        <w:jc w:val="center"/>
        <w:tblLayout w:type="autofit"/>
        <w:tblCellMar>
          <w:top w:w="0" w:type="dxa"/>
          <w:left w:w="108" w:type="dxa"/>
          <w:bottom w:w="0" w:type="dxa"/>
          <w:right w:w="108" w:type="dxa"/>
        </w:tblCellMar>
      </w:tblPr>
      <w:tblGrid>
        <w:gridCol w:w="1247"/>
        <w:gridCol w:w="4535"/>
        <w:gridCol w:w="2835"/>
      </w:tblGrid>
      <w:tr w14:paraId="2CF35AE1">
        <w:tblPrEx>
          <w:tblCellMar>
            <w:top w:w="0" w:type="dxa"/>
            <w:left w:w="108" w:type="dxa"/>
            <w:bottom w:w="0" w:type="dxa"/>
            <w:right w:w="108" w:type="dxa"/>
          </w:tblCellMar>
        </w:tblPrEx>
        <w:trPr>
          <w:tblHeader/>
          <w:jc w:val="center"/>
        </w:trPr>
        <w:tc>
          <w:tcPr>
            <w:tcW w:w="1247"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0FFBAB53">
            <w:pPr>
              <w:spacing w:after="0" w:line="240" w:lineRule="auto"/>
              <w:jc w:val="center"/>
            </w:pPr>
            <w:r>
              <w:rPr>
                <w:b/>
                <w:color w:val="000000"/>
                <w:sz w:val="21"/>
              </w:rPr>
              <w:t>维度</w:t>
            </w:r>
          </w:p>
        </w:tc>
        <w:tc>
          <w:tcPr>
            <w:tcW w:w="4535"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44E83F7B">
            <w:pPr>
              <w:spacing w:after="0" w:line="240" w:lineRule="auto"/>
              <w:jc w:val="center"/>
            </w:pPr>
            <w:r>
              <w:rPr>
                <w:b/>
                <w:color w:val="000000"/>
                <w:sz w:val="21"/>
              </w:rPr>
              <w:t>主要内容</w:t>
            </w:r>
          </w:p>
        </w:tc>
        <w:tc>
          <w:tcPr>
            <w:tcW w:w="2835"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1CD83198">
            <w:pPr>
              <w:spacing w:after="0" w:line="240" w:lineRule="auto"/>
              <w:jc w:val="center"/>
            </w:pPr>
            <w:r>
              <w:rPr>
                <w:b/>
                <w:color w:val="000000"/>
                <w:sz w:val="21"/>
              </w:rPr>
              <w:t>战略含义</w:t>
            </w:r>
          </w:p>
        </w:tc>
      </w:tr>
      <w:tr w14:paraId="54E1D37B">
        <w:tblPrEx>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90" w:type="dxa"/>
              <w:bottom w:w="80" w:type="dxa"/>
              <w:right w:w="90" w:type="dxa"/>
            </w:tcMar>
            <w:vAlign w:val="center"/>
          </w:tcPr>
          <w:p w14:paraId="0EF2283B">
            <w:pPr>
              <w:spacing w:after="0" w:line="240" w:lineRule="auto"/>
              <w:jc w:val="center"/>
            </w:pPr>
            <w:r>
              <w:rPr>
                <w:color w:val="000000"/>
                <w:sz w:val="21"/>
              </w:rPr>
              <w:t>S优势</w:t>
            </w:r>
          </w:p>
        </w:tc>
        <w:tc>
          <w:tcPr>
            <w:tcW w:w="4535" w:type="dxa"/>
            <w:tcBorders>
              <w:top w:val="nil"/>
              <w:left w:val="nil"/>
              <w:bottom w:val="nil"/>
              <w:right w:val="nil"/>
            </w:tcBorders>
            <w:tcMar>
              <w:top w:w="80" w:type="dxa"/>
              <w:left w:w="90" w:type="dxa"/>
              <w:bottom w:w="80" w:type="dxa"/>
              <w:right w:w="90" w:type="dxa"/>
            </w:tcMar>
            <w:vAlign w:val="center"/>
          </w:tcPr>
          <w:p w14:paraId="7AFE25A3">
            <w:pPr>
              <w:spacing w:after="0" w:line="240" w:lineRule="auto"/>
              <w:rPr>
                <w:lang w:eastAsia="zh-CN"/>
              </w:rPr>
            </w:pPr>
            <w:r>
              <w:rPr>
                <w:color w:val="000000"/>
                <w:sz w:val="21"/>
                <w:lang w:eastAsia="zh-CN"/>
              </w:rPr>
              <w:t>分布式绿电资源分布广泛；边缘算力具备任务分级与负荷调节潜力；县域轻量化AI场景较多；模块化节点便于试点</w:t>
            </w:r>
          </w:p>
        </w:tc>
        <w:tc>
          <w:tcPr>
            <w:tcW w:w="2835" w:type="dxa"/>
            <w:tcBorders>
              <w:top w:val="nil"/>
              <w:left w:val="nil"/>
              <w:bottom w:val="nil"/>
              <w:right w:val="nil"/>
            </w:tcBorders>
            <w:tcMar>
              <w:top w:w="80" w:type="dxa"/>
              <w:left w:w="90" w:type="dxa"/>
              <w:bottom w:w="80" w:type="dxa"/>
              <w:right w:w="90" w:type="dxa"/>
            </w:tcMar>
            <w:vAlign w:val="center"/>
          </w:tcPr>
          <w:p w14:paraId="02F6E5FD">
            <w:pPr>
              <w:spacing w:after="0" w:line="240" w:lineRule="auto"/>
              <w:rPr>
                <w:lang w:eastAsia="zh-CN"/>
              </w:rPr>
            </w:pPr>
            <w:r>
              <w:rPr>
                <w:color w:val="000000"/>
                <w:sz w:val="21"/>
                <w:lang w:eastAsia="zh-CN"/>
              </w:rPr>
              <w:t>支撑该方向具备县域场景适配性和试点可操作性</w:t>
            </w:r>
          </w:p>
        </w:tc>
      </w:tr>
      <w:tr w14:paraId="0DC1D40D">
        <w:tblPrEx>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90" w:type="dxa"/>
              <w:bottom w:w="80" w:type="dxa"/>
              <w:right w:w="90" w:type="dxa"/>
            </w:tcMar>
            <w:vAlign w:val="center"/>
          </w:tcPr>
          <w:p w14:paraId="767AF4D8">
            <w:pPr>
              <w:spacing w:after="0" w:line="240" w:lineRule="auto"/>
              <w:jc w:val="center"/>
            </w:pPr>
            <w:r>
              <w:rPr>
                <w:color w:val="000000"/>
                <w:sz w:val="21"/>
              </w:rPr>
              <w:t>W劣势</w:t>
            </w:r>
          </w:p>
        </w:tc>
        <w:tc>
          <w:tcPr>
            <w:tcW w:w="4535" w:type="dxa"/>
            <w:tcBorders>
              <w:top w:val="nil"/>
              <w:left w:val="nil"/>
              <w:bottom w:val="nil"/>
              <w:right w:val="nil"/>
            </w:tcBorders>
            <w:tcMar>
              <w:top w:w="80" w:type="dxa"/>
              <w:left w:w="90" w:type="dxa"/>
              <w:bottom w:w="80" w:type="dxa"/>
              <w:right w:w="90" w:type="dxa"/>
            </w:tcMar>
            <w:vAlign w:val="center"/>
          </w:tcPr>
          <w:p w14:paraId="660FE72C">
            <w:pPr>
              <w:spacing w:after="0" w:line="240" w:lineRule="auto"/>
              <w:rPr>
                <w:lang w:eastAsia="zh-CN"/>
              </w:rPr>
            </w:pPr>
            <w:r>
              <w:rPr>
                <w:color w:val="000000"/>
                <w:sz w:val="21"/>
                <w:lang w:eastAsia="zh-CN"/>
              </w:rPr>
              <w:t>县域算力需求仍需培育；绿电波动对预测和调度提出要求；运维、数据安全和投资回收机制有待完善</w:t>
            </w:r>
          </w:p>
        </w:tc>
        <w:tc>
          <w:tcPr>
            <w:tcW w:w="2835" w:type="dxa"/>
            <w:tcBorders>
              <w:top w:val="nil"/>
              <w:left w:val="nil"/>
              <w:bottom w:val="nil"/>
              <w:right w:val="nil"/>
            </w:tcBorders>
            <w:tcMar>
              <w:top w:w="80" w:type="dxa"/>
              <w:left w:w="90" w:type="dxa"/>
              <w:bottom w:w="80" w:type="dxa"/>
              <w:right w:w="90" w:type="dxa"/>
            </w:tcMar>
            <w:vAlign w:val="center"/>
          </w:tcPr>
          <w:p w14:paraId="0B24619F">
            <w:pPr>
              <w:spacing w:after="0" w:line="240" w:lineRule="auto"/>
              <w:rPr>
                <w:lang w:eastAsia="zh-CN"/>
              </w:rPr>
            </w:pPr>
            <w:r>
              <w:rPr>
                <w:color w:val="000000"/>
                <w:sz w:val="21"/>
                <w:lang w:eastAsia="zh-CN"/>
              </w:rPr>
              <w:t>说明该方向仍处于培育期，需要小规模验证和分阶段扩展</w:t>
            </w:r>
          </w:p>
        </w:tc>
      </w:tr>
      <w:tr w14:paraId="262B925C">
        <w:tblPrEx>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90" w:type="dxa"/>
              <w:bottom w:w="80" w:type="dxa"/>
              <w:right w:w="90" w:type="dxa"/>
            </w:tcMar>
            <w:vAlign w:val="center"/>
          </w:tcPr>
          <w:p w14:paraId="5FF0AE8B">
            <w:pPr>
              <w:spacing w:after="0" w:line="240" w:lineRule="auto"/>
              <w:jc w:val="center"/>
            </w:pPr>
            <w:r>
              <w:rPr>
                <w:color w:val="000000"/>
                <w:sz w:val="21"/>
              </w:rPr>
              <w:t>O机会</w:t>
            </w:r>
          </w:p>
        </w:tc>
        <w:tc>
          <w:tcPr>
            <w:tcW w:w="4535" w:type="dxa"/>
            <w:tcBorders>
              <w:top w:val="nil"/>
              <w:left w:val="nil"/>
              <w:bottom w:val="nil"/>
              <w:right w:val="nil"/>
            </w:tcBorders>
            <w:tcMar>
              <w:top w:w="80" w:type="dxa"/>
              <w:left w:w="90" w:type="dxa"/>
              <w:bottom w:w="80" w:type="dxa"/>
              <w:right w:w="90" w:type="dxa"/>
            </w:tcMar>
            <w:vAlign w:val="center"/>
          </w:tcPr>
          <w:p w14:paraId="2F64F0B3">
            <w:pPr>
              <w:spacing w:after="0" w:line="240" w:lineRule="auto"/>
              <w:rPr>
                <w:lang w:eastAsia="zh-CN"/>
              </w:rPr>
            </w:pPr>
            <w:r>
              <w:rPr>
                <w:color w:val="000000"/>
                <w:sz w:val="21"/>
                <w:lang w:eastAsia="zh-CN"/>
              </w:rPr>
              <w:t>双碳战略、新型电力系统、AI应用下沉、数字乡村和绿色园区建设提供政策与场景窗口</w:t>
            </w:r>
          </w:p>
        </w:tc>
        <w:tc>
          <w:tcPr>
            <w:tcW w:w="2835" w:type="dxa"/>
            <w:tcBorders>
              <w:top w:val="nil"/>
              <w:left w:val="nil"/>
              <w:bottom w:val="nil"/>
              <w:right w:val="nil"/>
            </w:tcBorders>
            <w:tcMar>
              <w:top w:w="80" w:type="dxa"/>
              <w:left w:w="90" w:type="dxa"/>
              <w:bottom w:w="80" w:type="dxa"/>
              <w:right w:w="90" w:type="dxa"/>
            </w:tcMar>
            <w:vAlign w:val="center"/>
          </w:tcPr>
          <w:p w14:paraId="4E72D393">
            <w:pPr>
              <w:spacing w:after="0" w:line="240" w:lineRule="auto"/>
              <w:rPr>
                <w:lang w:eastAsia="zh-CN"/>
              </w:rPr>
            </w:pPr>
            <w:r>
              <w:rPr>
                <w:color w:val="000000"/>
                <w:sz w:val="21"/>
                <w:lang w:eastAsia="zh-CN"/>
              </w:rPr>
              <w:t>支撑该方向具备未来产业培育空间</w:t>
            </w:r>
          </w:p>
        </w:tc>
      </w:tr>
      <w:tr w14:paraId="43410E34">
        <w:tblPrEx>
          <w:tblCellMar>
            <w:top w:w="0" w:type="dxa"/>
            <w:left w:w="108" w:type="dxa"/>
            <w:bottom w:w="0" w:type="dxa"/>
            <w:right w:w="108" w:type="dxa"/>
          </w:tblCellMar>
        </w:tblPrEx>
        <w:trPr>
          <w:jc w:val="center"/>
        </w:trPr>
        <w:tc>
          <w:tcPr>
            <w:tcW w:w="1247" w:type="dxa"/>
            <w:tcBorders>
              <w:top w:val="nil"/>
              <w:left w:val="nil"/>
              <w:bottom w:val="single" w:color="000000" w:sz="12" w:space="0"/>
              <w:right w:val="nil"/>
            </w:tcBorders>
            <w:tcMar>
              <w:top w:w="80" w:type="dxa"/>
              <w:left w:w="90" w:type="dxa"/>
              <w:bottom w:w="80" w:type="dxa"/>
              <w:right w:w="90" w:type="dxa"/>
            </w:tcMar>
            <w:vAlign w:val="center"/>
          </w:tcPr>
          <w:p w14:paraId="709A92BC">
            <w:pPr>
              <w:spacing w:after="0" w:line="240" w:lineRule="auto"/>
              <w:jc w:val="center"/>
            </w:pPr>
            <w:r>
              <w:rPr>
                <w:color w:val="000000"/>
                <w:sz w:val="21"/>
              </w:rPr>
              <w:t>T威胁</w:t>
            </w:r>
          </w:p>
        </w:tc>
        <w:tc>
          <w:tcPr>
            <w:tcW w:w="4535" w:type="dxa"/>
            <w:tcBorders>
              <w:top w:val="nil"/>
              <w:left w:val="nil"/>
              <w:bottom w:val="single" w:color="000000" w:sz="12" w:space="0"/>
              <w:right w:val="nil"/>
            </w:tcBorders>
            <w:tcMar>
              <w:top w:w="80" w:type="dxa"/>
              <w:left w:w="90" w:type="dxa"/>
              <w:bottom w:w="80" w:type="dxa"/>
              <w:right w:w="90" w:type="dxa"/>
            </w:tcMar>
            <w:vAlign w:val="center"/>
          </w:tcPr>
          <w:p w14:paraId="74FC22CA">
            <w:pPr>
              <w:spacing w:after="0" w:line="240" w:lineRule="auto"/>
              <w:rPr>
                <w:lang w:eastAsia="zh-CN"/>
              </w:rPr>
            </w:pPr>
            <w:r>
              <w:rPr>
                <w:color w:val="000000"/>
                <w:sz w:val="21"/>
                <w:lang w:eastAsia="zh-CN"/>
              </w:rPr>
              <w:t>大型云平台竞争、电力市场机制不完善、数据安全风险和县域基础设施差异可能限制推广</w:t>
            </w:r>
          </w:p>
        </w:tc>
        <w:tc>
          <w:tcPr>
            <w:tcW w:w="2835" w:type="dxa"/>
            <w:tcBorders>
              <w:top w:val="nil"/>
              <w:left w:val="nil"/>
              <w:bottom w:val="single" w:color="000000" w:sz="12" w:space="0"/>
              <w:right w:val="nil"/>
            </w:tcBorders>
            <w:tcMar>
              <w:top w:w="80" w:type="dxa"/>
              <w:left w:w="90" w:type="dxa"/>
              <w:bottom w:w="80" w:type="dxa"/>
              <w:right w:w="90" w:type="dxa"/>
            </w:tcMar>
            <w:vAlign w:val="center"/>
          </w:tcPr>
          <w:p w14:paraId="07CFA030">
            <w:pPr>
              <w:spacing w:after="0" w:line="240" w:lineRule="auto"/>
              <w:rPr>
                <w:lang w:eastAsia="zh-CN"/>
              </w:rPr>
            </w:pPr>
            <w:r>
              <w:rPr>
                <w:color w:val="000000"/>
                <w:sz w:val="21"/>
                <w:lang w:eastAsia="zh-CN"/>
              </w:rPr>
              <w:t>提示后续应加强机制设计、风险控制和分类推广</w:t>
            </w:r>
          </w:p>
        </w:tc>
      </w:tr>
    </w:tbl>
    <w:p w14:paraId="31CAC6A5">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rPr>
          <w:color w:val="000000"/>
        </w:rPr>
        <w:t>由表1-</w:t>
      </w:r>
      <w:r>
        <w:rPr>
          <w:rFonts w:hint="eastAsia"/>
          <w:color w:val="000000"/>
          <w:lang w:val="en-US" w:eastAsia="zh-CN"/>
        </w:rPr>
        <w:t>6</w:t>
      </w:r>
      <w:r>
        <w:rPr>
          <w:color w:val="000000"/>
        </w:rPr>
        <w:t>可见，县域算电协同边缘算力产业具备资源基础、场景需求和政策窗口，但其推广仍需处理四类关键问题。</w:t>
      </w:r>
    </w:p>
    <w:p w14:paraId="4B33750B">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rPr>
          <w:rFonts w:hint="eastAsia" w:cs="宋体"/>
          <w:color w:val="000000"/>
          <w:szCs w:val="24"/>
          <w:shd w:val="clear" w:color="auto" w:fill="FFFFFF"/>
        </w:rPr>
        <w:t>其一，大型云平台竞争主要体现在通用云服务、大模型训练和生态服务能力方面。县域边缘算力不宜与大型云平台正面竞争，而应聚焦本地实时推理、数据不出域、温冷数据处理和能源运维等差异化场景，形成互补而非替代的产业定位。</w:t>
      </w:r>
    </w:p>
    <w:p w14:paraId="101DFD51">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t>其二，电力市场机制不完善意味着需求响应、虚拟电厂、绿电交易和碳收益在不同地区的可获得性存在差异。近期收益应以AI服务、算力租赁和能源成本节约为主，中远期再逐步探索需求响应、绿证交易和碳管理收益等增量来源[8]。</w:t>
      </w:r>
    </w:p>
    <w:p w14:paraId="698BC97D">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t>其三，数据安全风险主要来自企业生产数据、能源运行数据和公共治理数据的采集、传输和处理过程。应通过本地部署、数据分级分类、脱敏处理、权限管理和边缘安全防护等措施降低风险敞口，确保数据合规与系统安全[12]。</w:t>
      </w:r>
    </w:p>
    <w:p w14:paraId="32BDC20A">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rPr>
          <w:rFonts w:hint="eastAsia" w:cs="宋体"/>
          <w:color w:val="000000"/>
          <w:szCs w:val="24"/>
          <w:shd w:val="clear" w:color="auto" w:fill="FFFFFF"/>
        </w:rPr>
        <w:t>其四，投资回收不确定主要源于算力节点利用率、绿电价格、储能配置成本和电力市场收益等多重因素的波动。后续需通过模型仿真和典型场景验证，测算不同条件下的经济边界，为投资决策提供定量依据。</w:t>
      </w:r>
    </w:p>
    <w:p w14:paraId="34C9B640">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rPr>
          <w:rFonts w:hint="eastAsia" w:cs="宋体"/>
          <w:color w:val="000000"/>
          <w:szCs w:val="24"/>
          <w:shd w:val="clear" w:color="auto" w:fill="FFFFFF"/>
        </w:rPr>
        <w:t>综合来看，SWOT分析表明该产业处于培育探索阶段，优势与机会构成发展的正向驱动力，劣势与威胁则构成需要主动管理的约束条件。该分析框架为后续关键技术识别和产业培育路径设计提供了战略定位依据。</w:t>
      </w:r>
    </w:p>
    <w:p w14:paraId="39618D11">
      <w:pPr>
        <w:keepNext/>
        <w:spacing w:before="160" w:after="120" w:line="288" w:lineRule="auto"/>
        <w:rPr>
          <w:lang w:eastAsia="zh-CN"/>
        </w:rPr>
      </w:pPr>
      <w:r>
        <w:rPr>
          <w:rFonts w:eastAsia="黑体"/>
          <w:b/>
          <w:color w:val="000000"/>
          <w:sz w:val="30"/>
          <w:lang w:eastAsia="zh-CN"/>
        </w:rPr>
        <w:t>1.7 能源领域未来产业方向对比与赛道选择</w:t>
      </w:r>
    </w:p>
    <w:p w14:paraId="6E6D9A84">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t>为避免未来产业方向选择停留在定性判断层面，本节选取新型储能、氢能、虚拟电厂/需求响应、零碳园区和县域算电协同边缘算力五类能源领域候选方向进行横向比较。上述五类方向的选取参考了国家能源局关于“十五五”能源新产业新业态的分类框架，其中新型储能、虚拟电厂/需求响应、算电协同均为国家明确列出的新业态方向，氢能作为独立的能源载体型产业进行评价，零碳园区是“十五五”推进产业绿色低碳转型的重点方向，五类方向分别代表能源领域未来产业中技术支撑型、市场机制型、应用场景型和融合创新型等不同范式，具有较好的代表性[1][5][8]。</w:t>
      </w:r>
    </w:p>
    <w:p w14:paraId="7DCDB5E2">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rPr>
          <w:rFonts w:hint="eastAsia" w:cs="宋体"/>
          <w:color w:val="000000"/>
          <w:szCs w:val="24"/>
          <w:shd w:val="clear" w:color="auto" w:fill="FFFFFF"/>
        </w:rPr>
        <w:t>评价指标包括前瞻性、颠覆性、技术成熟度、能源系统贡献、产业带动能力、县域适配性和可验证性七个维度。各维度采用1—5分评价：5分表示该维度表现突出，具有明确政策、技术或场景支撑；4分表示基础较好但仍存在一定限制；3分表示具有发展潜力但仍处于培育、试点或机制完善阶段；2分表示方向重要但与县域场景或本作品验证条件匹配度较低；1分表示当前支撑不足。综合分为七项指标加总结果。评分目的并非判断某一方向的绝对优劣，而是评估其与本作品“能源未来产业、县域场景、模型验证、典型样本”研究定位的匹配程度。</w:t>
      </w:r>
    </w:p>
    <w:p w14:paraId="57C789B9">
      <w:pPr>
        <w:pStyle w:val="30"/>
        <w:shd w:val="clear" w:color="auto" w:fill="FFFFFF"/>
        <w:spacing w:beforeAutospacing="0" w:afterAutospacing="0" w:line="360" w:lineRule="auto"/>
        <w:ind w:firstLine="480" w:firstLineChars="200"/>
        <w:jc w:val="both"/>
        <w:rPr>
          <w:rFonts w:hint="eastAsia" w:ascii="宋体" w:hAnsi="宋体" w:cs="宋体"/>
          <w:b/>
          <w:bCs/>
          <w:sz w:val="18"/>
          <w:szCs w:val="18"/>
        </w:rPr>
      </w:pPr>
      <w:r>
        <w:rPr>
          <w:rFonts w:hint="eastAsia" w:cs="宋体"/>
          <w:color w:val="000000"/>
          <w:szCs w:val="24"/>
          <w:shd w:val="clear" w:color="auto" w:fill="FFFFFF"/>
        </w:rPr>
        <w:t>各方向评分依据如下：新型储能已进入规模化、市场化发展阶段，在新能源消纳和系统调节中作用明确，技术成熟度和能源系统贡献突出，但作为独立赛道已相对成熟，产业带动和县域适配保持较高水平但非最高。氢能具有清洁低碳、长周期储能和多场景应用潜力，前瞻性和产业带动能力突出，但储运、加注、安全、成本和基础设施要求较高，县域适配性和可验证性受限。虚拟电厂/需求响应能够聚合分布式电源、储能和可调节负荷参与系统运行，能源系统贡献强，但依赖市场机制、聚合平台和收益规则，技术成熟度和县域适配性处于中等水平。零碳园区指标体系、核算方法和建设路径较成熟，可验证性较高，但更多属于园区综合治理载体，作为未来产业新赛道的辨识度和颠覆性相对有限。县域算电协同边缘算力与算电协同、绿色算力、“人工智能+能源”等政策方向</w:t>
      </w:r>
      <w:r>
        <w:rPr>
          <w:rFonts w:hint="eastAsia" w:cs="宋体"/>
          <w:color w:val="000000"/>
          <w:szCs w:val="24"/>
          <w:shd w:val="clear" w:color="auto" w:fill="FFFFFF"/>
          <w:lang w:val="en-US" w:eastAsia="zh-CN"/>
        </w:rPr>
        <w:t>具有较高匹配度</w:t>
      </w:r>
      <w:r>
        <w:rPr>
          <w:rFonts w:hint="eastAsia" w:cs="宋体"/>
          <w:color w:val="000000"/>
          <w:szCs w:val="24"/>
          <w:shd w:val="clear" w:color="auto" w:fill="FFFFFF"/>
        </w:rPr>
        <w:t>，产业带动能力强，县域适配性和可验证性突出，但系统性产业模式仍处于集成创新和试点验证阶段，技术成熟度为中等水平。</w:t>
      </w:r>
    </w:p>
    <w:p w14:paraId="1CFB6A55">
      <w:pPr>
        <w:keepNext/>
        <w:spacing w:before="80" w:after="40" w:line="240" w:lineRule="auto"/>
        <w:jc w:val="center"/>
        <w:rPr>
          <w:lang w:eastAsia="zh-CN"/>
        </w:rPr>
      </w:pPr>
      <w:r>
        <w:rPr>
          <w:b/>
          <w:color w:val="000000"/>
          <w:sz w:val="21"/>
          <w:lang w:eastAsia="zh-CN"/>
        </w:rPr>
        <w:t>表1-</w:t>
      </w:r>
      <w:r>
        <w:rPr>
          <w:rFonts w:hint="eastAsia"/>
          <w:b/>
          <w:color w:val="000000"/>
          <w:sz w:val="21"/>
          <w:lang w:val="en-US" w:eastAsia="zh-CN"/>
        </w:rPr>
        <w:t>7</w:t>
      </w:r>
      <w:r>
        <w:rPr>
          <w:b/>
          <w:color w:val="000000"/>
          <w:sz w:val="21"/>
          <w:lang w:eastAsia="zh-CN"/>
        </w:rPr>
        <w:t xml:space="preserve"> 五类能源未来产业方向七维评价评分矩阵</w:t>
      </w:r>
    </w:p>
    <w:tbl>
      <w:tblPr>
        <w:tblStyle w:val="33"/>
        <w:tblW w:w="0" w:type="auto"/>
        <w:jc w:val="center"/>
        <w:tblLayout w:type="autofit"/>
        <w:tblCellMar>
          <w:top w:w="0" w:type="dxa"/>
          <w:left w:w="108" w:type="dxa"/>
          <w:bottom w:w="0" w:type="dxa"/>
          <w:right w:w="108" w:type="dxa"/>
        </w:tblCellMar>
      </w:tblPr>
      <w:tblGrid>
        <w:gridCol w:w="2154"/>
        <w:gridCol w:w="680"/>
        <w:gridCol w:w="680"/>
        <w:gridCol w:w="907"/>
        <w:gridCol w:w="907"/>
        <w:gridCol w:w="907"/>
        <w:gridCol w:w="850"/>
        <w:gridCol w:w="737"/>
        <w:gridCol w:w="680"/>
      </w:tblGrid>
      <w:tr w14:paraId="576E4E2E">
        <w:tblPrEx>
          <w:tblCellMar>
            <w:top w:w="0" w:type="dxa"/>
            <w:left w:w="108" w:type="dxa"/>
            <w:bottom w:w="0" w:type="dxa"/>
            <w:right w:w="108" w:type="dxa"/>
          </w:tblCellMar>
        </w:tblPrEx>
        <w:trPr>
          <w:tblHeader/>
          <w:jc w:val="center"/>
        </w:trPr>
        <w:tc>
          <w:tcPr>
            <w:tcW w:w="2154"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742AF679">
            <w:pPr>
              <w:spacing w:after="0" w:line="240" w:lineRule="auto"/>
              <w:jc w:val="center"/>
            </w:pPr>
            <w:r>
              <w:rPr>
                <w:b/>
                <w:color w:val="000000"/>
                <w:sz w:val="21"/>
              </w:rPr>
              <w:t>未来产业方向</w:t>
            </w:r>
          </w:p>
        </w:tc>
        <w:tc>
          <w:tcPr>
            <w:tcW w:w="680"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2F3E779E">
            <w:pPr>
              <w:spacing w:after="0" w:line="240" w:lineRule="auto"/>
              <w:jc w:val="center"/>
            </w:pPr>
            <w:r>
              <w:rPr>
                <w:b/>
                <w:color w:val="000000"/>
                <w:sz w:val="21"/>
              </w:rPr>
              <w:t>前瞻性</w:t>
            </w:r>
          </w:p>
        </w:tc>
        <w:tc>
          <w:tcPr>
            <w:tcW w:w="680"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0A7FC563">
            <w:pPr>
              <w:spacing w:after="0" w:line="240" w:lineRule="auto"/>
              <w:jc w:val="center"/>
            </w:pPr>
            <w:r>
              <w:rPr>
                <w:b/>
                <w:color w:val="000000"/>
                <w:sz w:val="21"/>
              </w:rPr>
              <w:t>颠覆性</w:t>
            </w:r>
          </w:p>
        </w:tc>
        <w:tc>
          <w:tcPr>
            <w:tcW w:w="907"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62C42A66">
            <w:pPr>
              <w:spacing w:after="0" w:line="240" w:lineRule="auto"/>
              <w:jc w:val="center"/>
            </w:pPr>
            <w:r>
              <w:rPr>
                <w:b/>
                <w:color w:val="000000"/>
                <w:sz w:val="21"/>
              </w:rPr>
              <w:t>技术成熟度</w:t>
            </w:r>
          </w:p>
        </w:tc>
        <w:tc>
          <w:tcPr>
            <w:tcW w:w="907"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1A9B772E">
            <w:pPr>
              <w:spacing w:after="0" w:line="240" w:lineRule="auto"/>
              <w:jc w:val="center"/>
            </w:pPr>
            <w:r>
              <w:rPr>
                <w:b/>
                <w:color w:val="000000"/>
                <w:sz w:val="21"/>
              </w:rPr>
              <w:t>能源系统贡献</w:t>
            </w:r>
          </w:p>
        </w:tc>
        <w:tc>
          <w:tcPr>
            <w:tcW w:w="907"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5937D74E">
            <w:pPr>
              <w:spacing w:after="0" w:line="240" w:lineRule="auto"/>
              <w:jc w:val="center"/>
            </w:pPr>
            <w:r>
              <w:rPr>
                <w:b/>
                <w:color w:val="000000"/>
                <w:sz w:val="21"/>
              </w:rPr>
              <w:t>产业带动能力</w:t>
            </w:r>
          </w:p>
        </w:tc>
        <w:tc>
          <w:tcPr>
            <w:tcW w:w="850"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4E4BC2FF">
            <w:pPr>
              <w:spacing w:after="0" w:line="240" w:lineRule="auto"/>
              <w:jc w:val="center"/>
            </w:pPr>
            <w:r>
              <w:rPr>
                <w:b/>
                <w:color w:val="000000"/>
                <w:sz w:val="21"/>
              </w:rPr>
              <w:t>县域适配性</w:t>
            </w:r>
          </w:p>
        </w:tc>
        <w:tc>
          <w:tcPr>
            <w:tcW w:w="737"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4B848D8C">
            <w:pPr>
              <w:spacing w:after="0" w:line="240" w:lineRule="auto"/>
              <w:jc w:val="center"/>
            </w:pPr>
            <w:r>
              <w:rPr>
                <w:b/>
                <w:color w:val="000000"/>
                <w:sz w:val="21"/>
              </w:rPr>
              <w:t>可验证性</w:t>
            </w:r>
          </w:p>
        </w:tc>
        <w:tc>
          <w:tcPr>
            <w:tcW w:w="680"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373716B1">
            <w:pPr>
              <w:spacing w:after="0" w:line="240" w:lineRule="auto"/>
              <w:jc w:val="center"/>
            </w:pPr>
            <w:r>
              <w:rPr>
                <w:b/>
                <w:color w:val="000000"/>
                <w:sz w:val="21"/>
              </w:rPr>
              <w:t>综合分</w:t>
            </w:r>
          </w:p>
        </w:tc>
      </w:tr>
      <w:tr w14:paraId="7FF0C508">
        <w:tblPrEx>
          <w:tblCellMar>
            <w:top w:w="0" w:type="dxa"/>
            <w:left w:w="108" w:type="dxa"/>
            <w:bottom w:w="0" w:type="dxa"/>
            <w:right w:w="108" w:type="dxa"/>
          </w:tblCellMar>
        </w:tblPrEx>
        <w:trPr>
          <w:jc w:val="center"/>
        </w:trPr>
        <w:tc>
          <w:tcPr>
            <w:tcW w:w="2154" w:type="dxa"/>
            <w:tcBorders>
              <w:top w:val="nil"/>
              <w:left w:val="nil"/>
              <w:bottom w:val="nil"/>
              <w:right w:val="nil"/>
            </w:tcBorders>
            <w:tcMar>
              <w:top w:w="80" w:type="dxa"/>
              <w:left w:w="90" w:type="dxa"/>
              <w:bottom w:w="80" w:type="dxa"/>
              <w:right w:w="90" w:type="dxa"/>
            </w:tcMar>
            <w:vAlign w:val="center"/>
          </w:tcPr>
          <w:p w14:paraId="3DBA184C">
            <w:pPr>
              <w:spacing w:after="0" w:line="240" w:lineRule="auto"/>
              <w:jc w:val="center"/>
            </w:pPr>
            <w:r>
              <w:rPr>
                <w:color w:val="000000"/>
                <w:sz w:val="21"/>
              </w:rPr>
              <w:t>新型储能</w:t>
            </w:r>
          </w:p>
        </w:tc>
        <w:tc>
          <w:tcPr>
            <w:tcW w:w="680" w:type="dxa"/>
            <w:tcBorders>
              <w:top w:val="nil"/>
              <w:left w:val="nil"/>
              <w:bottom w:val="nil"/>
              <w:right w:val="nil"/>
            </w:tcBorders>
            <w:tcMar>
              <w:top w:w="80" w:type="dxa"/>
              <w:left w:w="90" w:type="dxa"/>
              <w:bottom w:w="80" w:type="dxa"/>
              <w:right w:w="90" w:type="dxa"/>
            </w:tcMar>
            <w:vAlign w:val="center"/>
          </w:tcPr>
          <w:p w14:paraId="2742F06E">
            <w:pPr>
              <w:spacing w:after="0" w:line="240" w:lineRule="auto"/>
              <w:jc w:val="center"/>
            </w:pPr>
            <w:r>
              <w:rPr>
                <w:color w:val="000000"/>
                <w:sz w:val="21"/>
              </w:rPr>
              <w:t>5</w:t>
            </w:r>
          </w:p>
        </w:tc>
        <w:tc>
          <w:tcPr>
            <w:tcW w:w="680" w:type="dxa"/>
            <w:tcBorders>
              <w:top w:val="nil"/>
              <w:left w:val="nil"/>
              <w:bottom w:val="nil"/>
              <w:right w:val="nil"/>
            </w:tcBorders>
            <w:tcMar>
              <w:top w:w="80" w:type="dxa"/>
              <w:left w:w="90" w:type="dxa"/>
              <w:bottom w:w="80" w:type="dxa"/>
              <w:right w:w="90" w:type="dxa"/>
            </w:tcMar>
            <w:vAlign w:val="center"/>
          </w:tcPr>
          <w:p w14:paraId="4E0E771D">
            <w:pPr>
              <w:spacing w:after="0" w:line="240" w:lineRule="auto"/>
              <w:jc w:val="center"/>
            </w:pPr>
            <w:r>
              <w:rPr>
                <w:color w:val="000000"/>
                <w:sz w:val="21"/>
              </w:rPr>
              <w:t>4</w:t>
            </w:r>
          </w:p>
        </w:tc>
        <w:tc>
          <w:tcPr>
            <w:tcW w:w="907" w:type="dxa"/>
            <w:tcBorders>
              <w:top w:val="nil"/>
              <w:left w:val="nil"/>
              <w:bottom w:val="nil"/>
              <w:right w:val="nil"/>
            </w:tcBorders>
            <w:tcMar>
              <w:top w:w="80" w:type="dxa"/>
              <w:left w:w="90" w:type="dxa"/>
              <w:bottom w:w="80" w:type="dxa"/>
              <w:right w:w="90" w:type="dxa"/>
            </w:tcMar>
            <w:vAlign w:val="center"/>
          </w:tcPr>
          <w:p w14:paraId="1BFC747F">
            <w:pPr>
              <w:spacing w:after="0" w:line="240" w:lineRule="auto"/>
              <w:jc w:val="center"/>
            </w:pPr>
            <w:r>
              <w:rPr>
                <w:color w:val="000000"/>
                <w:sz w:val="21"/>
              </w:rPr>
              <w:t>5</w:t>
            </w:r>
          </w:p>
        </w:tc>
        <w:tc>
          <w:tcPr>
            <w:tcW w:w="907" w:type="dxa"/>
            <w:tcBorders>
              <w:top w:val="nil"/>
              <w:left w:val="nil"/>
              <w:bottom w:val="nil"/>
              <w:right w:val="nil"/>
            </w:tcBorders>
            <w:tcMar>
              <w:top w:w="80" w:type="dxa"/>
              <w:left w:w="90" w:type="dxa"/>
              <w:bottom w:w="80" w:type="dxa"/>
              <w:right w:w="90" w:type="dxa"/>
            </w:tcMar>
            <w:vAlign w:val="center"/>
          </w:tcPr>
          <w:p w14:paraId="3F0DE143">
            <w:pPr>
              <w:spacing w:after="0" w:line="240" w:lineRule="auto"/>
              <w:jc w:val="center"/>
            </w:pPr>
            <w:r>
              <w:rPr>
                <w:color w:val="000000"/>
                <w:sz w:val="21"/>
              </w:rPr>
              <w:t>5</w:t>
            </w:r>
          </w:p>
        </w:tc>
        <w:tc>
          <w:tcPr>
            <w:tcW w:w="907" w:type="dxa"/>
            <w:tcBorders>
              <w:top w:val="nil"/>
              <w:left w:val="nil"/>
              <w:bottom w:val="nil"/>
              <w:right w:val="nil"/>
            </w:tcBorders>
            <w:tcMar>
              <w:top w:w="80" w:type="dxa"/>
              <w:left w:w="90" w:type="dxa"/>
              <w:bottom w:w="80" w:type="dxa"/>
              <w:right w:w="90" w:type="dxa"/>
            </w:tcMar>
            <w:vAlign w:val="center"/>
          </w:tcPr>
          <w:p w14:paraId="128798DD">
            <w:pPr>
              <w:spacing w:after="0" w:line="240" w:lineRule="auto"/>
              <w:jc w:val="center"/>
            </w:pPr>
            <w:r>
              <w:rPr>
                <w:color w:val="000000"/>
                <w:sz w:val="21"/>
              </w:rPr>
              <w:t>4</w:t>
            </w:r>
          </w:p>
        </w:tc>
        <w:tc>
          <w:tcPr>
            <w:tcW w:w="850" w:type="dxa"/>
            <w:tcBorders>
              <w:top w:val="nil"/>
              <w:left w:val="nil"/>
              <w:bottom w:val="nil"/>
              <w:right w:val="nil"/>
            </w:tcBorders>
            <w:tcMar>
              <w:top w:w="80" w:type="dxa"/>
              <w:left w:w="90" w:type="dxa"/>
              <w:bottom w:w="80" w:type="dxa"/>
              <w:right w:w="90" w:type="dxa"/>
            </w:tcMar>
            <w:vAlign w:val="center"/>
          </w:tcPr>
          <w:p w14:paraId="770021BC">
            <w:pPr>
              <w:spacing w:after="0" w:line="240" w:lineRule="auto"/>
              <w:jc w:val="center"/>
            </w:pPr>
            <w:r>
              <w:rPr>
                <w:color w:val="000000"/>
                <w:sz w:val="21"/>
              </w:rPr>
              <w:t>4</w:t>
            </w:r>
          </w:p>
        </w:tc>
        <w:tc>
          <w:tcPr>
            <w:tcW w:w="737" w:type="dxa"/>
            <w:tcBorders>
              <w:top w:val="nil"/>
              <w:left w:val="nil"/>
              <w:bottom w:val="nil"/>
              <w:right w:val="nil"/>
            </w:tcBorders>
            <w:tcMar>
              <w:top w:w="80" w:type="dxa"/>
              <w:left w:w="90" w:type="dxa"/>
              <w:bottom w:w="80" w:type="dxa"/>
              <w:right w:w="90" w:type="dxa"/>
            </w:tcMar>
            <w:vAlign w:val="center"/>
          </w:tcPr>
          <w:p w14:paraId="5B1B2620">
            <w:pPr>
              <w:spacing w:after="0" w:line="240" w:lineRule="auto"/>
              <w:jc w:val="center"/>
            </w:pPr>
            <w:r>
              <w:rPr>
                <w:color w:val="000000"/>
                <w:sz w:val="21"/>
              </w:rPr>
              <w:t>4</w:t>
            </w:r>
          </w:p>
        </w:tc>
        <w:tc>
          <w:tcPr>
            <w:tcW w:w="680" w:type="dxa"/>
            <w:tcBorders>
              <w:top w:val="nil"/>
              <w:left w:val="nil"/>
              <w:bottom w:val="nil"/>
              <w:right w:val="nil"/>
            </w:tcBorders>
            <w:tcMar>
              <w:top w:w="80" w:type="dxa"/>
              <w:left w:w="90" w:type="dxa"/>
              <w:bottom w:w="80" w:type="dxa"/>
              <w:right w:w="90" w:type="dxa"/>
            </w:tcMar>
            <w:vAlign w:val="center"/>
          </w:tcPr>
          <w:p w14:paraId="3B928B24">
            <w:pPr>
              <w:spacing w:after="0" w:line="240" w:lineRule="auto"/>
              <w:jc w:val="center"/>
            </w:pPr>
            <w:r>
              <w:rPr>
                <w:color w:val="000000"/>
                <w:sz w:val="21"/>
              </w:rPr>
              <w:t>31</w:t>
            </w:r>
          </w:p>
        </w:tc>
      </w:tr>
      <w:tr w14:paraId="3F9A2E9B">
        <w:tblPrEx>
          <w:tblCellMar>
            <w:top w:w="0" w:type="dxa"/>
            <w:left w:w="108" w:type="dxa"/>
            <w:bottom w:w="0" w:type="dxa"/>
            <w:right w:w="108" w:type="dxa"/>
          </w:tblCellMar>
        </w:tblPrEx>
        <w:trPr>
          <w:jc w:val="center"/>
        </w:trPr>
        <w:tc>
          <w:tcPr>
            <w:tcW w:w="2154" w:type="dxa"/>
            <w:tcBorders>
              <w:top w:val="nil"/>
              <w:left w:val="nil"/>
              <w:bottom w:val="nil"/>
              <w:right w:val="nil"/>
            </w:tcBorders>
            <w:tcMar>
              <w:top w:w="80" w:type="dxa"/>
              <w:left w:w="90" w:type="dxa"/>
              <w:bottom w:w="80" w:type="dxa"/>
              <w:right w:w="90" w:type="dxa"/>
            </w:tcMar>
            <w:vAlign w:val="center"/>
          </w:tcPr>
          <w:p w14:paraId="52C3C5C2">
            <w:pPr>
              <w:spacing w:after="0" w:line="240" w:lineRule="auto"/>
              <w:jc w:val="center"/>
            </w:pPr>
            <w:r>
              <w:rPr>
                <w:color w:val="000000"/>
                <w:sz w:val="21"/>
              </w:rPr>
              <w:t>氢能</w:t>
            </w:r>
          </w:p>
        </w:tc>
        <w:tc>
          <w:tcPr>
            <w:tcW w:w="680" w:type="dxa"/>
            <w:tcBorders>
              <w:top w:val="nil"/>
              <w:left w:val="nil"/>
              <w:bottom w:val="nil"/>
              <w:right w:val="nil"/>
            </w:tcBorders>
            <w:tcMar>
              <w:top w:w="80" w:type="dxa"/>
              <w:left w:w="90" w:type="dxa"/>
              <w:bottom w:w="80" w:type="dxa"/>
              <w:right w:w="90" w:type="dxa"/>
            </w:tcMar>
            <w:vAlign w:val="center"/>
          </w:tcPr>
          <w:p w14:paraId="3B867513">
            <w:pPr>
              <w:spacing w:after="0" w:line="240" w:lineRule="auto"/>
              <w:jc w:val="center"/>
            </w:pPr>
            <w:r>
              <w:rPr>
                <w:color w:val="000000"/>
                <w:sz w:val="21"/>
              </w:rPr>
              <w:t>5</w:t>
            </w:r>
          </w:p>
        </w:tc>
        <w:tc>
          <w:tcPr>
            <w:tcW w:w="680" w:type="dxa"/>
            <w:tcBorders>
              <w:top w:val="nil"/>
              <w:left w:val="nil"/>
              <w:bottom w:val="nil"/>
              <w:right w:val="nil"/>
            </w:tcBorders>
            <w:tcMar>
              <w:top w:w="80" w:type="dxa"/>
              <w:left w:w="90" w:type="dxa"/>
              <w:bottom w:w="80" w:type="dxa"/>
              <w:right w:w="90" w:type="dxa"/>
            </w:tcMar>
            <w:vAlign w:val="center"/>
          </w:tcPr>
          <w:p w14:paraId="30462C53">
            <w:pPr>
              <w:spacing w:after="0" w:line="240" w:lineRule="auto"/>
              <w:jc w:val="center"/>
            </w:pPr>
            <w:r>
              <w:rPr>
                <w:color w:val="000000"/>
                <w:sz w:val="21"/>
              </w:rPr>
              <w:t>5</w:t>
            </w:r>
          </w:p>
        </w:tc>
        <w:tc>
          <w:tcPr>
            <w:tcW w:w="907" w:type="dxa"/>
            <w:tcBorders>
              <w:top w:val="nil"/>
              <w:left w:val="nil"/>
              <w:bottom w:val="nil"/>
              <w:right w:val="nil"/>
            </w:tcBorders>
            <w:tcMar>
              <w:top w:w="80" w:type="dxa"/>
              <w:left w:w="90" w:type="dxa"/>
              <w:bottom w:w="80" w:type="dxa"/>
              <w:right w:w="90" w:type="dxa"/>
            </w:tcMar>
            <w:vAlign w:val="center"/>
          </w:tcPr>
          <w:p w14:paraId="0F1F3E80">
            <w:pPr>
              <w:spacing w:after="0" w:line="240" w:lineRule="auto"/>
              <w:jc w:val="center"/>
            </w:pPr>
            <w:r>
              <w:rPr>
                <w:color w:val="000000"/>
                <w:sz w:val="21"/>
              </w:rPr>
              <w:t>3</w:t>
            </w:r>
          </w:p>
        </w:tc>
        <w:tc>
          <w:tcPr>
            <w:tcW w:w="907" w:type="dxa"/>
            <w:tcBorders>
              <w:top w:val="nil"/>
              <w:left w:val="nil"/>
              <w:bottom w:val="nil"/>
              <w:right w:val="nil"/>
            </w:tcBorders>
            <w:tcMar>
              <w:top w:w="80" w:type="dxa"/>
              <w:left w:w="90" w:type="dxa"/>
              <w:bottom w:w="80" w:type="dxa"/>
              <w:right w:w="90" w:type="dxa"/>
            </w:tcMar>
            <w:vAlign w:val="center"/>
          </w:tcPr>
          <w:p w14:paraId="3CAD7FE1">
            <w:pPr>
              <w:spacing w:after="0" w:line="240" w:lineRule="auto"/>
              <w:jc w:val="center"/>
            </w:pPr>
            <w:r>
              <w:rPr>
                <w:color w:val="000000"/>
                <w:sz w:val="21"/>
              </w:rPr>
              <w:t>4</w:t>
            </w:r>
          </w:p>
        </w:tc>
        <w:tc>
          <w:tcPr>
            <w:tcW w:w="907" w:type="dxa"/>
            <w:tcBorders>
              <w:top w:val="nil"/>
              <w:left w:val="nil"/>
              <w:bottom w:val="nil"/>
              <w:right w:val="nil"/>
            </w:tcBorders>
            <w:tcMar>
              <w:top w:w="80" w:type="dxa"/>
              <w:left w:w="90" w:type="dxa"/>
              <w:bottom w:w="80" w:type="dxa"/>
              <w:right w:w="90" w:type="dxa"/>
            </w:tcMar>
            <w:vAlign w:val="center"/>
          </w:tcPr>
          <w:p w14:paraId="670FAA3C">
            <w:pPr>
              <w:spacing w:after="0" w:line="240" w:lineRule="auto"/>
              <w:jc w:val="center"/>
            </w:pPr>
            <w:r>
              <w:rPr>
                <w:color w:val="000000"/>
                <w:sz w:val="21"/>
              </w:rPr>
              <w:t>5</w:t>
            </w:r>
          </w:p>
        </w:tc>
        <w:tc>
          <w:tcPr>
            <w:tcW w:w="850" w:type="dxa"/>
            <w:tcBorders>
              <w:top w:val="nil"/>
              <w:left w:val="nil"/>
              <w:bottom w:val="nil"/>
              <w:right w:val="nil"/>
            </w:tcBorders>
            <w:tcMar>
              <w:top w:w="80" w:type="dxa"/>
              <w:left w:w="90" w:type="dxa"/>
              <w:bottom w:w="80" w:type="dxa"/>
              <w:right w:w="90" w:type="dxa"/>
            </w:tcMar>
            <w:vAlign w:val="center"/>
          </w:tcPr>
          <w:p w14:paraId="5F02B548">
            <w:pPr>
              <w:spacing w:after="0" w:line="240" w:lineRule="auto"/>
              <w:jc w:val="center"/>
            </w:pPr>
            <w:r>
              <w:rPr>
                <w:color w:val="000000"/>
                <w:sz w:val="21"/>
              </w:rPr>
              <w:t>2</w:t>
            </w:r>
          </w:p>
        </w:tc>
        <w:tc>
          <w:tcPr>
            <w:tcW w:w="737" w:type="dxa"/>
            <w:tcBorders>
              <w:top w:val="nil"/>
              <w:left w:val="nil"/>
              <w:bottom w:val="nil"/>
              <w:right w:val="nil"/>
            </w:tcBorders>
            <w:tcMar>
              <w:top w:w="80" w:type="dxa"/>
              <w:left w:w="90" w:type="dxa"/>
              <w:bottom w:w="80" w:type="dxa"/>
              <w:right w:w="90" w:type="dxa"/>
            </w:tcMar>
            <w:vAlign w:val="center"/>
          </w:tcPr>
          <w:p w14:paraId="05F1842B">
            <w:pPr>
              <w:spacing w:after="0" w:line="240" w:lineRule="auto"/>
              <w:jc w:val="center"/>
            </w:pPr>
            <w:r>
              <w:rPr>
                <w:color w:val="000000"/>
                <w:sz w:val="21"/>
              </w:rPr>
              <w:t>2</w:t>
            </w:r>
          </w:p>
        </w:tc>
        <w:tc>
          <w:tcPr>
            <w:tcW w:w="680" w:type="dxa"/>
            <w:tcBorders>
              <w:top w:val="nil"/>
              <w:left w:val="nil"/>
              <w:bottom w:val="nil"/>
              <w:right w:val="nil"/>
            </w:tcBorders>
            <w:tcMar>
              <w:top w:w="80" w:type="dxa"/>
              <w:left w:w="90" w:type="dxa"/>
              <w:bottom w:w="80" w:type="dxa"/>
              <w:right w:w="90" w:type="dxa"/>
            </w:tcMar>
            <w:vAlign w:val="center"/>
          </w:tcPr>
          <w:p w14:paraId="1D682683">
            <w:pPr>
              <w:spacing w:after="0" w:line="240" w:lineRule="auto"/>
              <w:jc w:val="center"/>
            </w:pPr>
            <w:r>
              <w:rPr>
                <w:color w:val="000000"/>
                <w:sz w:val="21"/>
              </w:rPr>
              <w:t>26</w:t>
            </w:r>
          </w:p>
        </w:tc>
      </w:tr>
      <w:tr w14:paraId="2CAD2E8A">
        <w:tblPrEx>
          <w:tblCellMar>
            <w:top w:w="0" w:type="dxa"/>
            <w:left w:w="108" w:type="dxa"/>
            <w:bottom w:w="0" w:type="dxa"/>
            <w:right w:w="108" w:type="dxa"/>
          </w:tblCellMar>
        </w:tblPrEx>
        <w:trPr>
          <w:jc w:val="center"/>
        </w:trPr>
        <w:tc>
          <w:tcPr>
            <w:tcW w:w="2154" w:type="dxa"/>
            <w:tcBorders>
              <w:top w:val="nil"/>
              <w:left w:val="nil"/>
              <w:bottom w:val="nil"/>
              <w:right w:val="nil"/>
            </w:tcBorders>
            <w:tcMar>
              <w:top w:w="80" w:type="dxa"/>
              <w:left w:w="90" w:type="dxa"/>
              <w:bottom w:w="80" w:type="dxa"/>
              <w:right w:w="90" w:type="dxa"/>
            </w:tcMar>
            <w:vAlign w:val="center"/>
          </w:tcPr>
          <w:p w14:paraId="18FAC0EF">
            <w:pPr>
              <w:spacing w:after="0" w:line="240" w:lineRule="auto"/>
              <w:jc w:val="center"/>
            </w:pPr>
            <w:r>
              <w:rPr>
                <w:color w:val="000000"/>
                <w:sz w:val="21"/>
              </w:rPr>
              <w:t>虚拟电厂/需求响应</w:t>
            </w:r>
          </w:p>
        </w:tc>
        <w:tc>
          <w:tcPr>
            <w:tcW w:w="680" w:type="dxa"/>
            <w:tcBorders>
              <w:top w:val="nil"/>
              <w:left w:val="nil"/>
              <w:bottom w:val="nil"/>
              <w:right w:val="nil"/>
            </w:tcBorders>
            <w:tcMar>
              <w:top w:w="80" w:type="dxa"/>
              <w:left w:w="90" w:type="dxa"/>
              <w:bottom w:w="80" w:type="dxa"/>
              <w:right w:w="90" w:type="dxa"/>
            </w:tcMar>
            <w:vAlign w:val="center"/>
          </w:tcPr>
          <w:p w14:paraId="66C85562">
            <w:pPr>
              <w:spacing w:after="0" w:line="240" w:lineRule="auto"/>
              <w:jc w:val="center"/>
            </w:pPr>
            <w:r>
              <w:rPr>
                <w:color w:val="000000"/>
                <w:sz w:val="21"/>
              </w:rPr>
              <w:t>4</w:t>
            </w:r>
          </w:p>
        </w:tc>
        <w:tc>
          <w:tcPr>
            <w:tcW w:w="680" w:type="dxa"/>
            <w:tcBorders>
              <w:top w:val="nil"/>
              <w:left w:val="nil"/>
              <w:bottom w:val="nil"/>
              <w:right w:val="nil"/>
            </w:tcBorders>
            <w:tcMar>
              <w:top w:w="80" w:type="dxa"/>
              <w:left w:w="90" w:type="dxa"/>
              <w:bottom w:w="80" w:type="dxa"/>
              <w:right w:w="90" w:type="dxa"/>
            </w:tcMar>
            <w:vAlign w:val="center"/>
          </w:tcPr>
          <w:p w14:paraId="2E807229">
            <w:pPr>
              <w:spacing w:after="0" w:line="240" w:lineRule="auto"/>
              <w:jc w:val="center"/>
            </w:pPr>
            <w:r>
              <w:rPr>
                <w:color w:val="000000"/>
                <w:sz w:val="21"/>
              </w:rPr>
              <w:t>4</w:t>
            </w:r>
          </w:p>
        </w:tc>
        <w:tc>
          <w:tcPr>
            <w:tcW w:w="907" w:type="dxa"/>
            <w:tcBorders>
              <w:top w:val="nil"/>
              <w:left w:val="nil"/>
              <w:bottom w:val="nil"/>
              <w:right w:val="nil"/>
            </w:tcBorders>
            <w:tcMar>
              <w:top w:w="80" w:type="dxa"/>
              <w:left w:w="90" w:type="dxa"/>
              <w:bottom w:w="80" w:type="dxa"/>
              <w:right w:w="90" w:type="dxa"/>
            </w:tcMar>
            <w:vAlign w:val="center"/>
          </w:tcPr>
          <w:p w14:paraId="10A85568">
            <w:pPr>
              <w:spacing w:after="0" w:line="240" w:lineRule="auto"/>
              <w:jc w:val="center"/>
            </w:pPr>
            <w:r>
              <w:rPr>
                <w:color w:val="000000"/>
                <w:sz w:val="21"/>
              </w:rPr>
              <w:t>3</w:t>
            </w:r>
          </w:p>
        </w:tc>
        <w:tc>
          <w:tcPr>
            <w:tcW w:w="907" w:type="dxa"/>
            <w:tcBorders>
              <w:top w:val="nil"/>
              <w:left w:val="nil"/>
              <w:bottom w:val="nil"/>
              <w:right w:val="nil"/>
            </w:tcBorders>
            <w:tcMar>
              <w:top w:w="80" w:type="dxa"/>
              <w:left w:w="90" w:type="dxa"/>
              <w:bottom w:w="80" w:type="dxa"/>
              <w:right w:w="90" w:type="dxa"/>
            </w:tcMar>
            <w:vAlign w:val="center"/>
          </w:tcPr>
          <w:p w14:paraId="24E12756">
            <w:pPr>
              <w:spacing w:after="0" w:line="240" w:lineRule="auto"/>
              <w:jc w:val="center"/>
            </w:pPr>
            <w:r>
              <w:rPr>
                <w:color w:val="000000"/>
                <w:sz w:val="21"/>
              </w:rPr>
              <w:t>5</w:t>
            </w:r>
          </w:p>
        </w:tc>
        <w:tc>
          <w:tcPr>
            <w:tcW w:w="907" w:type="dxa"/>
            <w:tcBorders>
              <w:top w:val="nil"/>
              <w:left w:val="nil"/>
              <w:bottom w:val="nil"/>
              <w:right w:val="nil"/>
            </w:tcBorders>
            <w:tcMar>
              <w:top w:w="80" w:type="dxa"/>
              <w:left w:w="90" w:type="dxa"/>
              <w:bottom w:w="80" w:type="dxa"/>
              <w:right w:w="90" w:type="dxa"/>
            </w:tcMar>
            <w:vAlign w:val="center"/>
          </w:tcPr>
          <w:p w14:paraId="6CAEDCB1">
            <w:pPr>
              <w:spacing w:after="0" w:line="240" w:lineRule="auto"/>
              <w:jc w:val="center"/>
            </w:pPr>
            <w:r>
              <w:rPr>
                <w:color w:val="000000"/>
                <w:sz w:val="21"/>
              </w:rPr>
              <w:t>4</w:t>
            </w:r>
          </w:p>
        </w:tc>
        <w:tc>
          <w:tcPr>
            <w:tcW w:w="850" w:type="dxa"/>
            <w:tcBorders>
              <w:top w:val="nil"/>
              <w:left w:val="nil"/>
              <w:bottom w:val="nil"/>
              <w:right w:val="nil"/>
            </w:tcBorders>
            <w:tcMar>
              <w:top w:w="80" w:type="dxa"/>
              <w:left w:w="90" w:type="dxa"/>
              <w:bottom w:w="80" w:type="dxa"/>
              <w:right w:w="90" w:type="dxa"/>
            </w:tcMar>
            <w:vAlign w:val="center"/>
          </w:tcPr>
          <w:p w14:paraId="0B5552F6">
            <w:pPr>
              <w:spacing w:after="0" w:line="240" w:lineRule="auto"/>
              <w:jc w:val="center"/>
            </w:pPr>
            <w:r>
              <w:rPr>
                <w:color w:val="000000"/>
                <w:sz w:val="21"/>
              </w:rPr>
              <w:t>3</w:t>
            </w:r>
          </w:p>
        </w:tc>
        <w:tc>
          <w:tcPr>
            <w:tcW w:w="737" w:type="dxa"/>
            <w:tcBorders>
              <w:top w:val="nil"/>
              <w:left w:val="nil"/>
              <w:bottom w:val="nil"/>
              <w:right w:val="nil"/>
            </w:tcBorders>
            <w:tcMar>
              <w:top w:w="80" w:type="dxa"/>
              <w:left w:w="90" w:type="dxa"/>
              <w:bottom w:w="80" w:type="dxa"/>
              <w:right w:w="90" w:type="dxa"/>
            </w:tcMar>
            <w:vAlign w:val="center"/>
          </w:tcPr>
          <w:p w14:paraId="635C6721">
            <w:pPr>
              <w:spacing w:after="0" w:line="240" w:lineRule="auto"/>
              <w:jc w:val="center"/>
            </w:pPr>
            <w:r>
              <w:rPr>
                <w:color w:val="000000"/>
                <w:sz w:val="21"/>
              </w:rPr>
              <w:t>3</w:t>
            </w:r>
          </w:p>
        </w:tc>
        <w:tc>
          <w:tcPr>
            <w:tcW w:w="680" w:type="dxa"/>
            <w:tcBorders>
              <w:top w:val="nil"/>
              <w:left w:val="nil"/>
              <w:bottom w:val="nil"/>
              <w:right w:val="nil"/>
            </w:tcBorders>
            <w:tcMar>
              <w:top w:w="80" w:type="dxa"/>
              <w:left w:w="90" w:type="dxa"/>
              <w:bottom w:w="80" w:type="dxa"/>
              <w:right w:w="90" w:type="dxa"/>
            </w:tcMar>
            <w:vAlign w:val="center"/>
          </w:tcPr>
          <w:p w14:paraId="6AED4CEE">
            <w:pPr>
              <w:spacing w:after="0" w:line="240" w:lineRule="auto"/>
              <w:jc w:val="center"/>
            </w:pPr>
            <w:r>
              <w:rPr>
                <w:color w:val="000000"/>
                <w:sz w:val="21"/>
              </w:rPr>
              <w:t>26</w:t>
            </w:r>
          </w:p>
        </w:tc>
      </w:tr>
      <w:tr w14:paraId="6844E6F3">
        <w:tblPrEx>
          <w:tblCellMar>
            <w:top w:w="0" w:type="dxa"/>
            <w:left w:w="108" w:type="dxa"/>
            <w:bottom w:w="0" w:type="dxa"/>
            <w:right w:w="108" w:type="dxa"/>
          </w:tblCellMar>
        </w:tblPrEx>
        <w:trPr>
          <w:jc w:val="center"/>
        </w:trPr>
        <w:tc>
          <w:tcPr>
            <w:tcW w:w="2154" w:type="dxa"/>
            <w:tcBorders>
              <w:top w:val="nil"/>
              <w:left w:val="nil"/>
              <w:bottom w:val="nil"/>
              <w:right w:val="nil"/>
            </w:tcBorders>
            <w:tcMar>
              <w:top w:w="80" w:type="dxa"/>
              <w:left w:w="90" w:type="dxa"/>
              <w:bottom w:w="80" w:type="dxa"/>
              <w:right w:w="90" w:type="dxa"/>
            </w:tcMar>
            <w:vAlign w:val="center"/>
          </w:tcPr>
          <w:p w14:paraId="0ADF2327">
            <w:pPr>
              <w:spacing w:after="0" w:line="240" w:lineRule="auto"/>
              <w:jc w:val="center"/>
            </w:pPr>
            <w:r>
              <w:rPr>
                <w:color w:val="000000"/>
                <w:sz w:val="21"/>
              </w:rPr>
              <w:t>零碳园区</w:t>
            </w:r>
          </w:p>
        </w:tc>
        <w:tc>
          <w:tcPr>
            <w:tcW w:w="680" w:type="dxa"/>
            <w:tcBorders>
              <w:top w:val="nil"/>
              <w:left w:val="nil"/>
              <w:bottom w:val="nil"/>
              <w:right w:val="nil"/>
            </w:tcBorders>
            <w:tcMar>
              <w:top w:w="80" w:type="dxa"/>
              <w:left w:w="90" w:type="dxa"/>
              <w:bottom w:w="80" w:type="dxa"/>
              <w:right w:w="90" w:type="dxa"/>
            </w:tcMar>
            <w:vAlign w:val="center"/>
          </w:tcPr>
          <w:p w14:paraId="2D54396E">
            <w:pPr>
              <w:spacing w:after="0" w:line="240" w:lineRule="auto"/>
              <w:jc w:val="center"/>
            </w:pPr>
            <w:r>
              <w:rPr>
                <w:color w:val="000000"/>
                <w:sz w:val="21"/>
              </w:rPr>
              <w:t>4</w:t>
            </w:r>
          </w:p>
        </w:tc>
        <w:tc>
          <w:tcPr>
            <w:tcW w:w="680" w:type="dxa"/>
            <w:tcBorders>
              <w:top w:val="nil"/>
              <w:left w:val="nil"/>
              <w:bottom w:val="nil"/>
              <w:right w:val="nil"/>
            </w:tcBorders>
            <w:tcMar>
              <w:top w:w="80" w:type="dxa"/>
              <w:left w:w="90" w:type="dxa"/>
              <w:bottom w:w="80" w:type="dxa"/>
              <w:right w:w="90" w:type="dxa"/>
            </w:tcMar>
            <w:vAlign w:val="center"/>
          </w:tcPr>
          <w:p w14:paraId="132BF586">
            <w:pPr>
              <w:spacing w:after="0" w:line="240" w:lineRule="auto"/>
              <w:jc w:val="center"/>
            </w:pPr>
            <w:r>
              <w:rPr>
                <w:color w:val="000000"/>
                <w:sz w:val="21"/>
              </w:rPr>
              <w:t>3</w:t>
            </w:r>
          </w:p>
        </w:tc>
        <w:tc>
          <w:tcPr>
            <w:tcW w:w="907" w:type="dxa"/>
            <w:tcBorders>
              <w:top w:val="nil"/>
              <w:left w:val="nil"/>
              <w:bottom w:val="nil"/>
              <w:right w:val="nil"/>
            </w:tcBorders>
            <w:tcMar>
              <w:top w:w="80" w:type="dxa"/>
              <w:left w:w="90" w:type="dxa"/>
              <w:bottom w:w="80" w:type="dxa"/>
              <w:right w:w="90" w:type="dxa"/>
            </w:tcMar>
            <w:vAlign w:val="center"/>
          </w:tcPr>
          <w:p w14:paraId="1876D0E0">
            <w:pPr>
              <w:spacing w:after="0" w:line="240" w:lineRule="auto"/>
              <w:jc w:val="center"/>
            </w:pPr>
            <w:r>
              <w:rPr>
                <w:color w:val="000000"/>
                <w:sz w:val="21"/>
              </w:rPr>
              <w:t>4</w:t>
            </w:r>
          </w:p>
        </w:tc>
        <w:tc>
          <w:tcPr>
            <w:tcW w:w="907" w:type="dxa"/>
            <w:tcBorders>
              <w:top w:val="nil"/>
              <w:left w:val="nil"/>
              <w:bottom w:val="nil"/>
              <w:right w:val="nil"/>
            </w:tcBorders>
            <w:tcMar>
              <w:top w:w="80" w:type="dxa"/>
              <w:left w:w="90" w:type="dxa"/>
              <w:bottom w:w="80" w:type="dxa"/>
              <w:right w:w="90" w:type="dxa"/>
            </w:tcMar>
            <w:vAlign w:val="center"/>
          </w:tcPr>
          <w:p w14:paraId="2137E7E2">
            <w:pPr>
              <w:spacing w:after="0" w:line="240" w:lineRule="auto"/>
              <w:jc w:val="center"/>
            </w:pPr>
            <w:r>
              <w:rPr>
                <w:color w:val="000000"/>
                <w:sz w:val="21"/>
              </w:rPr>
              <w:t>4</w:t>
            </w:r>
          </w:p>
        </w:tc>
        <w:tc>
          <w:tcPr>
            <w:tcW w:w="907" w:type="dxa"/>
            <w:tcBorders>
              <w:top w:val="nil"/>
              <w:left w:val="nil"/>
              <w:bottom w:val="nil"/>
              <w:right w:val="nil"/>
            </w:tcBorders>
            <w:tcMar>
              <w:top w:w="80" w:type="dxa"/>
              <w:left w:w="90" w:type="dxa"/>
              <w:bottom w:w="80" w:type="dxa"/>
              <w:right w:w="90" w:type="dxa"/>
            </w:tcMar>
            <w:vAlign w:val="center"/>
          </w:tcPr>
          <w:p w14:paraId="78C7A004">
            <w:pPr>
              <w:spacing w:after="0" w:line="240" w:lineRule="auto"/>
              <w:jc w:val="center"/>
            </w:pPr>
            <w:r>
              <w:rPr>
                <w:color w:val="000000"/>
                <w:sz w:val="21"/>
              </w:rPr>
              <w:t>4</w:t>
            </w:r>
          </w:p>
        </w:tc>
        <w:tc>
          <w:tcPr>
            <w:tcW w:w="850" w:type="dxa"/>
            <w:tcBorders>
              <w:top w:val="nil"/>
              <w:left w:val="nil"/>
              <w:bottom w:val="nil"/>
              <w:right w:val="nil"/>
            </w:tcBorders>
            <w:tcMar>
              <w:top w:w="80" w:type="dxa"/>
              <w:left w:w="90" w:type="dxa"/>
              <w:bottom w:w="80" w:type="dxa"/>
              <w:right w:w="90" w:type="dxa"/>
            </w:tcMar>
            <w:vAlign w:val="center"/>
          </w:tcPr>
          <w:p w14:paraId="1D52AE45">
            <w:pPr>
              <w:spacing w:after="0" w:line="240" w:lineRule="auto"/>
              <w:jc w:val="center"/>
            </w:pPr>
            <w:r>
              <w:rPr>
                <w:color w:val="000000"/>
                <w:sz w:val="21"/>
              </w:rPr>
              <w:t>3</w:t>
            </w:r>
          </w:p>
        </w:tc>
        <w:tc>
          <w:tcPr>
            <w:tcW w:w="737" w:type="dxa"/>
            <w:tcBorders>
              <w:top w:val="nil"/>
              <w:left w:val="nil"/>
              <w:bottom w:val="nil"/>
              <w:right w:val="nil"/>
            </w:tcBorders>
            <w:tcMar>
              <w:top w:w="80" w:type="dxa"/>
              <w:left w:w="90" w:type="dxa"/>
              <w:bottom w:w="80" w:type="dxa"/>
              <w:right w:w="90" w:type="dxa"/>
            </w:tcMar>
            <w:vAlign w:val="center"/>
          </w:tcPr>
          <w:p w14:paraId="07F44770">
            <w:pPr>
              <w:spacing w:after="0" w:line="240" w:lineRule="auto"/>
              <w:jc w:val="center"/>
            </w:pPr>
            <w:r>
              <w:rPr>
                <w:color w:val="000000"/>
                <w:sz w:val="21"/>
              </w:rPr>
              <w:t>4</w:t>
            </w:r>
          </w:p>
        </w:tc>
        <w:tc>
          <w:tcPr>
            <w:tcW w:w="680" w:type="dxa"/>
            <w:tcBorders>
              <w:top w:val="nil"/>
              <w:left w:val="nil"/>
              <w:bottom w:val="nil"/>
              <w:right w:val="nil"/>
            </w:tcBorders>
            <w:tcMar>
              <w:top w:w="80" w:type="dxa"/>
              <w:left w:w="90" w:type="dxa"/>
              <w:bottom w:w="80" w:type="dxa"/>
              <w:right w:w="90" w:type="dxa"/>
            </w:tcMar>
            <w:vAlign w:val="center"/>
          </w:tcPr>
          <w:p w14:paraId="41655A45">
            <w:pPr>
              <w:spacing w:after="0" w:line="240" w:lineRule="auto"/>
              <w:jc w:val="center"/>
            </w:pPr>
            <w:r>
              <w:rPr>
                <w:color w:val="000000"/>
                <w:sz w:val="21"/>
              </w:rPr>
              <w:t>26</w:t>
            </w:r>
          </w:p>
        </w:tc>
      </w:tr>
      <w:tr w14:paraId="5ADB5A53">
        <w:tblPrEx>
          <w:tblCellMar>
            <w:top w:w="0" w:type="dxa"/>
            <w:left w:w="108" w:type="dxa"/>
            <w:bottom w:w="0" w:type="dxa"/>
            <w:right w:w="108" w:type="dxa"/>
          </w:tblCellMar>
        </w:tblPrEx>
        <w:trPr>
          <w:jc w:val="center"/>
        </w:trPr>
        <w:tc>
          <w:tcPr>
            <w:tcW w:w="2154" w:type="dxa"/>
            <w:tcBorders>
              <w:top w:val="nil"/>
              <w:left w:val="nil"/>
              <w:bottom w:val="single" w:color="000000" w:sz="12" w:space="0"/>
              <w:right w:val="nil"/>
            </w:tcBorders>
            <w:tcMar>
              <w:top w:w="80" w:type="dxa"/>
              <w:left w:w="90" w:type="dxa"/>
              <w:bottom w:w="80" w:type="dxa"/>
              <w:right w:w="90" w:type="dxa"/>
            </w:tcMar>
            <w:vAlign w:val="center"/>
          </w:tcPr>
          <w:p w14:paraId="365CE8F8">
            <w:pPr>
              <w:spacing w:after="0" w:line="240" w:lineRule="auto"/>
              <w:jc w:val="center"/>
              <w:rPr>
                <w:lang w:eastAsia="zh-CN"/>
              </w:rPr>
            </w:pPr>
            <w:r>
              <w:rPr>
                <w:color w:val="000000"/>
                <w:sz w:val="21"/>
                <w:lang w:eastAsia="zh-CN"/>
              </w:rPr>
              <w:t>县域算电协同边缘算力</w:t>
            </w:r>
          </w:p>
        </w:tc>
        <w:tc>
          <w:tcPr>
            <w:tcW w:w="680" w:type="dxa"/>
            <w:tcBorders>
              <w:top w:val="nil"/>
              <w:left w:val="nil"/>
              <w:bottom w:val="single" w:color="000000" w:sz="12" w:space="0"/>
              <w:right w:val="nil"/>
            </w:tcBorders>
            <w:tcMar>
              <w:top w:w="80" w:type="dxa"/>
              <w:left w:w="90" w:type="dxa"/>
              <w:bottom w:w="80" w:type="dxa"/>
              <w:right w:w="90" w:type="dxa"/>
            </w:tcMar>
            <w:vAlign w:val="center"/>
          </w:tcPr>
          <w:p w14:paraId="25625321">
            <w:pPr>
              <w:spacing w:after="0" w:line="240" w:lineRule="auto"/>
              <w:jc w:val="center"/>
            </w:pPr>
            <w:r>
              <w:rPr>
                <w:color w:val="000000"/>
                <w:sz w:val="21"/>
              </w:rPr>
              <w:t>5</w:t>
            </w:r>
          </w:p>
        </w:tc>
        <w:tc>
          <w:tcPr>
            <w:tcW w:w="680" w:type="dxa"/>
            <w:tcBorders>
              <w:top w:val="nil"/>
              <w:left w:val="nil"/>
              <w:bottom w:val="single" w:color="000000" w:sz="12" w:space="0"/>
              <w:right w:val="nil"/>
            </w:tcBorders>
            <w:tcMar>
              <w:top w:w="80" w:type="dxa"/>
              <w:left w:w="90" w:type="dxa"/>
              <w:bottom w:w="80" w:type="dxa"/>
              <w:right w:w="90" w:type="dxa"/>
            </w:tcMar>
            <w:vAlign w:val="center"/>
          </w:tcPr>
          <w:p w14:paraId="481BD515">
            <w:pPr>
              <w:spacing w:after="0" w:line="240" w:lineRule="auto"/>
              <w:jc w:val="center"/>
            </w:pPr>
            <w:r>
              <w:rPr>
                <w:color w:val="000000"/>
                <w:sz w:val="21"/>
              </w:rPr>
              <w:t>4</w:t>
            </w:r>
          </w:p>
        </w:tc>
        <w:tc>
          <w:tcPr>
            <w:tcW w:w="907" w:type="dxa"/>
            <w:tcBorders>
              <w:top w:val="nil"/>
              <w:left w:val="nil"/>
              <w:bottom w:val="single" w:color="000000" w:sz="12" w:space="0"/>
              <w:right w:val="nil"/>
            </w:tcBorders>
            <w:tcMar>
              <w:top w:w="80" w:type="dxa"/>
              <w:left w:w="90" w:type="dxa"/>
              <w:bottom w:w="80" w:type="dxa"/>
              <w:right w:w="90" w:type="dxa"/>
            </w:tcMar>
            <w:vAlign w:val="center"/>
          </w:tcPr>
          <w:p w14:paraId="6ECA5407">
            <w:pPr>
              <w:spacing w:after="0" w:line="240" w:lineRule="auto"/>
              <w:jc w:val="center"/>
            </w:pPr>
            <w:r>
              <w:rPr>
                <w:color w:val="000000"/>
                <w:sz w:val="21"/>
              </w:rPr>
              <w:t>3</w:t>
            </w:r>
          </w:p>
        </w:tc>
        <w:tc>
          <w:tcPr>
            <w:tcW w:w="907" w:type="dxa"/>
            <w:tcBorders>
              <w:top w:val="nil"/>
              <w:left w:val="nil"/>
              <w:bottom w:val="single" w:color="000000" w:sz="12" w:space="0"/>
              <w:right w:val="nil"/>
            </w:tcBorders>
            <w:tcMar>
              <w:top w:w="80" w:type="dxa"/>
              <w:left w:w="90" w:type="dxa"/>
              <w:bottom w:w="80" w:type="dxa"/>
              <w:right w:w="90" w:type="dxa"/>
            </w:tcMar>
            <w:vAlign w:val="center"/>
          </w:tcPr>
          <w:p w14:paraId="630682BB">
            <w:pPr>
              <w:spacing w:after="0" w:line="240" w:lineRule="auto"/>
              <w:jc w:val="center"/>
            </w:pPr>
            <w:r>
              <w:rPr>
                <w:color w:val="000000"/>
                <w:sz w:val="21"/>
              </w:rPr>
              <w:t>4</w:t>
            </w:r>
          </w:p>
        </w:tc>
        <w:tc>
          <w:tcPr>
            <w:tcW w:w="907" w:type="dxa"/>
            <w:tcBorders>
              <w:top w:val="nil"/>
              <w:left w:val="nil"/>
              <w:bottom w:val="single" w:color="000000" w:sz="12" w:space="0"/>
              <w:right w:val="nil"/>
            </w:tcBorders>
            <w:tcMar>
              <w:top w:w="80" w:type="dxa"/>
              <w:left w:w="90" w:type="dxa"/>
              <w:bottom w:w="80" w:type="dxa"/>
              <w:right w:w="90" w:type="dxa"/>
            </w:tcMar>
            <w:vAlign w:val="center"/>
          </w:tcPr>
          <w:p w14:paraId="0BD2393F">
            <w:pPr>
              <w:spacing w:after="0" w:line="240" w:lineRule="auto"/>
              <w:jc w:val="center"/>
            </w:pPr>
            <w:r>
              <w:rPr>
                <w:color w:val="000000"/>
                <w:sz w:val="21"/>
              </w:rPr>
              <w:t>5</w:t>
            </w:r>
          </w:p>
        </w:tc>
        <w:tc>
          <w:tcPr>
            <w:tcW w:w="850" w:type="dxa"/>
            <w:tcBorders>
              <w:top w:val="nil"/>
              <w:left w:val="nil"/>
              <w:bottom w:val="single" w:color="000000" w:sz="12" w:space="0"/>
              <w:right w:val="nil"/>
            </w:tcBorders>
            <w:tcMar>
              <w:top w:w="80" w:type="dxa"/>
              <w:left w:w="90" w:type="dxa"/>
              <w:bottom w:w="80" w:type="dxa"/>
              <w:right w:w="90" w:type="dxa"/>
            </w:tcMar>
            <w:vAlign w:val="center"/>
          </w:tcPr>
          <w:p w14:paraId="1AEADC4A">
            <w:pPr>
              <w:spacing w:after="0" w:line="240" w:lineRule="auto"/>
              <w:jc w:val="center"/>
            </w:pPr>
            <w:r>
              <w:rPr>
                <w:color w:val="000000"/>
                <w:sz w:val="21"/>
              </w:rPr>
              <w:t>5</w:t>
            </w:r>
          </w:p>
        </w:tc>
        <w:tc>
          <w:tcPr>
            <w:tcW w:w="737" w:type="dxa"/>
            <w:tcBorders>
              <w:top w:val="nil"/>
              <w:left w:val="nil"/>
              <w:bottom w:val="single" w:color="000000" w:sz="12" w:space="0"/>
              <w:right w:val="nil"/>
            </w:tcBorders>
            <w:tcMar>
              <w:top w:w="80" w:type="dxa"/>
              <w:left w:w="90" w:type="dxa"/>
              <w:bottom w:w="80" w:type="dxa"/>
              <w:right w:w="90" w:type="dxa"/>
            </w:tcMar>
            <w:vAlign w:val="center"/>
          </w:tcPr>
          <w:p w14:paraId="3F11B16A">
            <w:pPr>
              <w:spacing w:after="0" w:line="240" w:lineRule="auto"/>
              <w:jc w:val="center"/>
            </w:pPr>
            <w:r>
              <w:rPr>
                <w:color w:val="000000"/>
                <w:sz w:val="21"/>
              </w:rPr>
              <w:t>5</w:t>
            </w:r>
          </w:p>
        </w:tc>
        <w:tc>
          <w:tcPr>
            <w:tcW w:w="680" w:type="dxa"/>
            <w:tcBorders>
              <w:top w:val="nil"/>
              <w:left w:val="nil"/>
              <w:bottom w:val="single" w:color="000000" w:sz="12" w:space="0"/>
              <w:right w:val="nil"/>
            </w:tcBorders>
            <w:tcMar>
              <w:top w:w="80" w:type="dxa"/>
              <w:left w:w="90" w:type="dxa"/>
              <w:bottom w:w="80" w:type="dxa"/>
              <w:right w:w="90" w:type="dxa"/>
            </w:tcMar>
            <w:vAlign w:val="center"/>
          </w:tcPr>
          <w:p w14:paraId="24D001A2">
            <w:pPr>
              <w:spacing w:after="0" w:line="240" w:lineRule="auto"/>
              <w:jc w:val="center"/>
            </w:pPr>
            <w:r>
              <w:rPr>
                <w:color w:val="000000"/>
                <w:sz w:val="21"/>
              </w:rPr>
              <w:t>31</w:t>
            </w:r>
          </w:p>
        </w:tc>
      </w:tr>
    </w:tbl>
    <w:p w14:paraId="2C24FE04">
      <w:pPr>
        <w:pStyle w:val="30"/>
        <w:shd w:val="clear" w:color="auto" w:fill="FFFFFF"/>
        <w:spacing w:beforeAutospacing="0" w:afterAutospacing="0" w:line="360" w:lineRule="auto"/>
        <w:ind w:firstLine="480" w:firstLineChars="200"/>
        <w:jc w:val="both"/>
        <w:rPr>
          <w:rFonts w:hint="eastAsia" w:ascii="宋体" w:hAnsi="宋体" w:cs="宋体"/>
          <w:color w:val="0F1115"/>
          <w:szCs w:val="24"/>
          <w:shd w:val="clear" w:color="auto" w:fill="FFFFFF"/>
        </w:rPr>
      </w:pPr>
      <w:r>
        <w:rPr>
          <w:color w:val="000000"/>
        </w:rPr>
        <w:t>由表1-</w:t>
      </w:r>
      <w:r>
        <w:rPr>
          <w:rFonts w:hint="eastAsia"/>
          <w:color w:val="000000"/>
          <w:lang w:val="en-US" w:eastAsia="zh-CN"/>
        </w:rPr>
        <w:t>7</w:t>
      </w:r>
      <w:r>
        <w:rPr>
          <w:color w:val="000000"/>
        </w:rPr>
        <w:t>可见，新型储能与县域算电协同边缘算力综合分均为31分，但二者在本作品中的定位存在差异。新型储能技术成熟度高、能源系统贡献强，适合作为源网荷储算碳协同优化模型中的关键支撑技术；县域算电协同边缘算力虽然技术成熟度仍处于培育阶段，但在县域适配性、可验证性和产业带动能力方面表现突出，更契合本作品“绿动县域”的研究定位和后续模型仿真、典型场景验证要求。</w:t>
      </w:r>
    </w:p>
    <w:p w14:paraId="2231AD75">
      <w:pPr>
        <w:keepNext/>
        <w:spacing w:after="0" w:line="360" w:lineRule="auto"/>
        <w:ind w:firstLine="480" w:firstLineChars="200"/>
        <w:jc w:val="center"/>
      </w:pPr>
      <w:r>
        <w:drawing>
          <wp:inline distT="0" distB="0" distL="114300" distR="114300">
            <wp:extent cx="4156710" cy="3151505"/>
            <wp:effectExtent l="0" t="0" r="3810" b="317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12"/>
                    <a:stretch>
                      <a:fillRect/>
                    </a:stretch>
                  </pic:blipFill>
                  <pic:spPr>
                    <a:xfrm>
                      <a:off x="0" y="0"/>
                      <a:ext cx="4156710" cy="3151505"/>
                    </a:xfrm>
                    <a:prstGeom prst="rect">
                      <a:avLst/>
                    </a:prstGeom>
                    <a:noFill/>
                    <a:ln>
                      <a:noFill/>
                    </a:ln>
                  </pic:spPr>
                </pic:pic>
              </a:graphicData>
            </a:graphic>
          </wp:inline>
        </w:drawing>
      </w:r>
    </w:p>
    <w:p w14:paraId="66D81859">
      <w:pPr>
        <w:spacing w:before="80" w:after="40" w:line="240" w:lineRule="auto"/>
        <w:jc w:val="center"/>
        <w:rPr>
          <w:rFonts w:hint="eastAsia" w:ascii="宋体" w:hAnsi="宋体" w:cs="宋体"/>
          <w:b/>
          <w:bCs/>
          <w:sz w:val="18"/>
          <w:szCs w:val="18"/>
          <w:lang w:eastAsia="zh-CN"/>
        </w:rPr>
      </w:pPr>
      <w:r>
        <w:rPr>
          <w:color w:val="000000"/>
          <w:sz w:val="21"/>
          <w:lang w:eastAsia="zh-CN"/>
        </w:rPr>
        <w:t>图1-</w:t>
      </w:r>
      <w:r>
        <w:rPr>
          <w:rFonts w:hint="eastAsia"/>
          <w:color w:val="000000"/>
          <w:sz w:val="21"/>
          <w:lang w:val="en-US" w:eastAsia="zh-CN"/>
        </w:rPr>
        <w:t>5</w:t>
      </w:r>
      <w:r>
        <w:rPr>
          <w:color w:val="000000"/>
          <w:sz w:val="21"/>
          <w:lang w:eastAsia="zh-CN"/>
        </w:rPr>
        <w:t xml:space="preserve"> 县域适配性—可验证性二维定位图</w:t>
      </w:r>
    </w:p>
    <w:p w14:paraId="0B2B0D0A">
      <w:pPr>
        <w:spacing w:after="0" w:line="360" w:lineRule="auto"/>
        <w:ind w:firstLine="480" w:firstLineChars="200"/>
        <w:jc w:val="both"/>
        <w:rPr>
          <w:rFonts w:hint="default" w:ascii="宋体" w:hAnsi="宋体" w:cs="宋体"/>
          <w:b/>
          <w:bCs/>
          <w:szCs w:val="24"/>
          <w:lang w:val="en-US" w:eastAsia="zh-CN"/>
        </w:rPr>
      </w:pPr>
      <w:r>
        <w:rPr>
          <w:color w:val="000000"/>
          <w:lang w:eastAsia="zh-CN"/>
        </w:rPr>
        <w:t>图1-</w:t>
      </w:r>
      <w:r>
        <w:rPr>
          <w:rFonts w:hint="eastAsia"/>
          <w:color w:val="000000"/>
          <w:lang w:val="en-US" w:eastAsia="zh-CN"/>
        </w:rPr>
        <w:t>5</w:t>
      </w:r>
      <w:r>
        <w:rPr>
          <w:color w:val="000000"/>
          <w:lang w:eastAsia="zh-CN"/>
        </w:rPr>
        <w:t>进一步从县域适配性和可验证性两个维度展示不同方向的差异。县域算电协同边缘算力位于“高适配—高验证”区域，说明该方向既能够与县域分布式绿电、轻量化AI应用和产业升级需求形成较高匹配，也便于通过通用县域模型仿真和典型县域参数替换开展验证。相比之下，氢能虽然战略价值高，但县域短期验证门槛较高；虚拟电厂/需求响应依赖市场机制和聚合平台；零碳园区适合低碳治理，但未来产业新赛道辨识度相对有限。</w:t>
      </w:r>
      <w:r>
        <w:rPr>
          <w:rFonts w:hint="eastAsia"/>
          <w:color w:val="000000"/>
          <w:lang w:eastAsia="zh-CN"/>
        </w:rPr>
        <w:t>基于评分矩阵形成赛道定位结论，如表1-8所示。</w:t>
      </w:r>
    </w:p>
    <w:p w14:paraId="0D9FF208">
      <w:pPr>
        <w:keepNext/>
        <w:spacing w:before="80" w:after="40" w:line="240" w:lineRule="auto"/>
        <w:jc w:val="center"/>
        <w:rPr>
          <w:lang w:eastAsia="zh-CN"/>
        </w:rPr>
      </w:pPr>
      <w:r>
        <w:rPr>
          <w:b/>
          <w:color w:val="000000"/>
          <w:sz w:val="21"/>
          <w:lang w:eastAsia="zh-CN"/>
        </w:rPr>
        <w:t>表1-</w:t>
      </w:r>
      <w:r>
        <w:rPr>
          <w:rFonts w:hint="eastAsia"/>
          <w:b/>
          <w:color w:val="000000"/>
          <w:sz w:val="21"/>
          <w:lang w:val="en-US" w:eastAsia="zh-CN"/>
        </w:rPr>
        <w:t>8</w:t>
      </w:r>
      <w:r>
        <w:rPr>
          <w:b/>
          <w:color w:val="000000"/>
          <w:sz w:val="21"/>
          <w:lang w:eastAsia="zh-CN"/>
        </w:rPr>
        <w:t xml:space="preserve"> 五类能源未来产业方向综合判断与赛道选择结论</w:t>
      </w:r>
    </w:p>
    <w:tbl>
      <w:tblPr>
        <w:tblStyle w:val="33"/>
        <w:tblW w:w="0" w:type="auto"/>
        <w:jc w:val="center"/>
        <w:tblLayout w:type="autofit"/>
        <w:tblCellMar>
          <w:top w:w="0" w:type="dxa"/>
          <w:left w:w="108" w:type="dxa"/>
          <w:bottom w:w="0" w:type="dxa"/>
          <w:right w:w="108" w:type="dxa"/>
        </w:tblCellMar>
      </w:tblPr>
      <w:tblGrid>
        <w:gridCol w:w="1701"/>
        <w:gridCol w:w="4139"/>
        <w:gridCol w:w="2721"/>
      </w:tblGrid>
      <w:tr w14:paraId="5505CBB5">
        <w:tblPrEx>
          <w:tblCellMar>
            <w:top w:w="0" w:type="dxa"/>
            <w:left w:w="108" w:type="dxa"/>
            <w:bottom w:w="0" w:type="dxa"/>
            <w:right w:w="108" w:type="dxa"/>
          </w:tblCellMar>
        </w:tblPrEx>
        <w:trPr>
          <w:tblHeader/>
          <w:jc w:val="center"/>
        </w:trPr>
        <w:tc>
          <w:tcPr>
            <w:tcW w:w="1701"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4C14D5A0">
            <w:pPr>
              <w:spacing w:after="0" w:line="240" w:lineRule="auto"/>
              <w:jc w:val="center"/>
            </w:pPr>
            <w:r>
              <w:rPr>
                <w:b/>
                <w:color w:val="000000"/>
                <w:sz w:val="21"/>
              </w:rPr>
              <w:t>方向</w:t>
            </w:r>
          </w:p>
        </w:tc>
        <w:tc>
          <w:tcPr>
            <w:tcW w:w="4139"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56544838">
            <w:pPr>
              <w:spacing w:after="0" w:line="240" w:lineRule="auto"/>
              <w:jc w:val="center"/>
            </w:pPr>
            <w:r>
              <w:rPr>
                <w:b/>
                <w:color w:val="000000"/>
                <w:sz w:val="21"/>
              </w:rPr>
              <w:t>综合判断</w:t>
            </w:r>
          </w:p>
        </w:tc>
        <w:tc>
          <w:tcPr>
            <w:tcW w:w="2721"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7A63782A">
            <w:pPr>
              <w:spacing w:after="0" w:line="240" w:lineRule="auto"/>
              <w:jc w:val="center"/>
            </w:pPr>
            <w:r>
              <w:rPr>
                <w:b/>
                <w:color w:val="000000"/>
                <w:sz w:val="21"/>
              </w:rPr>
              <w:t>在本作品中的定位</w:t>
            </w:r>
          </w:p>
        </w:tc>
      </w:tr>
      <w:tr w14:paraId="73D56C77">
        <w:tblPrEx>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90" w:type="dxa"/>
              <w:bottom w:w="80" w:type="dxa"/>
              <w:right w:w="90" w:type="dxa"/>
            </w:tcMar>
            <w:vAlign w:val="center"/>
          </w:tcPr>
          <w:p w14:paraId="5A64C0AF">
            <w:pPr>
              <w:spacing w:after="0" w:line="240" w:lineRule="auto"/>
              <w:jc w:val="center"/>
            </w:pPr>
            <w:r>
              <w:rPr>
                <w:color w:val="000000"/>
                <w:sz w:val="21"/>
              </w:rPr>
              <w:t>新型储能</w:t>
            </w:r>
          </w:p>
        </w:tc>
        <w:tc>
          <w:tcPr>
            <w:tcW w:w="4139" w:type="dxa"/>
            <w:tcBorders>
              <w:top w:val="nil"/>
              <w:left w:val="nil"/>
              <w:bottom w:val="nil"/>
              <w:right w:val="nil"/>
            </w:tcBorders>
            <w:tcMar>
              <w:top w:w="80" w:type="dxa"/>
              <w:left w:w="90" w:type="dxa"/>
              <w:bottom w:w="80" w:type="dxa"/>
              <w:right w:w="90" w:type="dxa"/>
            </w:tcMar>
            <w:vAlign w:val="center"/>
          </w:tcPr>
          <w:p w14:paraId="6640E2EC">
            <w:pPr>
              <w:spacing w:after="0" w:line="240" w:lineRule="auto"/>
              <w:rPr>
                <w:lang w:eastAsia="zh-CN"/>
              </w:rPr>
            </w:pPr>
            <w:r>
              <w:rPr>
                <w:color w:val="000000"/>
                <w:sz w:val="21"/>
                <w:lang w:eastAsia="zh-CN"/>
              </w:rPr>
              <w:t>成熟度高、能源系统贡献强，但赛道相对成熟</w:t>
            </w:r>
          </w:p>
        </w:tc>
        <w:tc>
          <w:tcPr>
            <w:tcW w:w="2721" w:type="dxa"/>
            <w:tcBorders>
              <w:top w:val="nil"/>
              <w:left w:val="nil"/>
              <w:bottom w:val="nil"/>
              <w:right w:val="nil"/>
            </w:tcBorders>
            <w:tcMar>
              <w:top w:w="80" w:type="dxa"/>
              <w:left w:w="90" w:type="dxa"/>
              <w:bottom w:w="80" w:type="dxa"/>
              <w:right w:w="90" w:type="dxa"/>
            </w:tcMar>
            <w:vAlign w:val="center"/>
          </w:tcPr>
          <w:p w14:paraId="624E6068">
            <w:pPr>
              <w:spacing w:after="0" w:line="240" w:lineRule="auto"/>
              <w:rPr>
                <w:lang w:eastAsia="zh-CN"/>
              </w:rPr>
            </w:pPr>
            <w:r>
              <w:rPr>
                <w:color w:val="000000"/>
                <w:sz w:val="21"/>
                <w:lang w:eastAsia="zh-CN"/>
              </w:rPr>
              <w:t>作为支撑技术纳入源网荷储算碳模型</w:t>
            </w:r>
          </w:p>
        </w:tc>
      </w:tr>
      <w:tr w14:paraId="160D9777">
        <w:tblPrEx>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90" w:type="dxa"/>
              <w:bottom w:w="80" w:type="dxa"/>
              <w:right w:w="90" w:type="dxa"/>
            </w:tcMar>
            <w:vAlign w:val="center"/>
          </w:tcPr>
          <w:p w14:paraId="5DAF06A4">
            <w:pPr>
              <w:spacing w:after="0" w:line="240" w:lineRule="auto"/>
              <w:jc w:val="center"/>
            </w:pPr>
            <w:r>
              <w:rPr>
                <w:color w:val="000000"/>
                <w:sz w:val="21"/>
              </w:rPr>
              <w:t>氢能</w:t>
            </w:r>
          </w:p>
        </w:tc>
        <w:tc>
          <w:tcPr>
            <w:tcW w:w="4139" w:type="dxa"/>
            <w:tcBorders>
              <w:top w:val="nil"/>
              <w:left w:val="nil"/>
              <w:bottom w:val="nil"/>
              <w:right w:val="nil"/>
            </w:tcBorders>
            <w:tcMar>
              <w:top w:w="80" w:type="dxa"/>
              <w:left w:w="90" w:type="dxa"/>
              <w:bottom w:w="80" w:type="dxa"/>
              <w:right w:w="90" w:type="dxa"/>
            </w:tcMar>
            <w:vAlign w:val="center"/>
          </w:tcPr>
          <w:p w14:paraId="1E9EB3B2">
            <w:pPr>
              <w:spacing w:after="0" w:line="240" w:lineRule="auto"/>
              <w:rPr>
                <w:lang w:eastAsia="zh-CN"/>
              </w:rPr>
            </w:pPr>
            <w:r>
              <w:rPr>
                <w:color w:val="000000"/>
                <w:sz w:val="21"/>
                <w:lang w:eastAsia="zh-CN"/>
              </w:rPr>
              <w:t>战略价值高、产业链长，但县域短期验证门槛较高</w:t>
            </w:r>
          </w:p>
        </w:tc>
        <w:tc>
          <w:tcPr>
            <w:tcW w:w="2721" w:type="dxa"/>
            <w:tcBorders>
              <w:top w:val="nil"/>
              <w:left w:val="nil"/>
              <w:bottom w:val="nil"/>
              <w:right w:val="nil"/>
            </w:tcBorders>
            <w:tcMar>
              <w:top w:w="80" w:type="dxa"/>
              <w:left w:w="90" w:type="dxa"/>
              <w:bottom w:w="80" w:type="dxa"/>
              <w:right w:w="90" w:type="dxa"/>
            </w:tcMar>
            <w:vAlign w:val="center"/>
          </w:tcPr>
          <w:p w14:paraId="49607FA4">
            <w:pPr>
              <w:spacing w:after="0" w:line="240" w:lineRule="auto"/>
              <w:rPr>
                <w:lang w:eastAsia="zh-CN"/>
              </w:rPr>
            </w:pPr>
            <w:r>
              <w:rPr>
                <w:color w:val="000000"/>
                <w:sz w:val="21"/>
                <w:lang w:eastAsia="zh-CN"/>
              </w:rPr>
              <w:t>作为远期关联方向，不作为主赛道</w:t>
            </w:r>
          </w:p>
        </w:tc>
      </w:tr>
      <w:tr w14:paraId="507157E3">
        <w:tblPrEx>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90" w:type="dxa"/>
              <w:bottom w:w="80" w:type="dxa"/>
              <w:right w:w="90" w:type="dxa"/>
            </w:tcMar>
            <w:vAlign w:val="center"/>
          </w:tcPr>
          <w:p w14:paraId="22785E63">
            <w:pPr>
              <w:spacing w:after="0" w:line="240" w:lineRule="auto"/>
              <w:jc w:val="center"/>
            </w:pPr>
            <w:r>
              <w:rPr>
                <w:color w:val="000000"/>
                <w:sz w:val="21"/>
              </w:rPr>
              <w:t>虚拟电厂/需求响应</w:t>
            </w:r>
          </w:p>
        </w:tc>
        <w:tc>
          <w:tcPr>
            <w:tcW w:w="4139" w:type="dxa"/>
            <w:tcBorders>
              <w:top w:val="nil"/>
              <w:left w:val="nil"/>
              <w:bottom w:val="nil"/>
              <w:right w:val="nil"/>
            </w:tcBorders>
            <w:tcMar>
              <w:top w:w="80" w:type="dxa"/>
              <w:left w:w="90" w:type="dxa"/>
              <w:bottom w:w="80" w:type="dxa"/>
              <w:right w:w="90" w:type="dxa"/>
            </w:tcMar>
            <w:vAlign w:val="center"/>
          </w:tcPr>
          <w:p w14:paraId="7EC9D19B">
            <w:pPr>
              <w:spacing w:after="0" w:line="240" w:lineRule="auto"/>
              <w:rPr>
                <w:lang w:eastAsia="zh-CN"/>
              </w:rPr>
            </w:pPr>
            <w:r>
              <w:rPr>
                <w:color w:val="000000"/>
                <w:sz w:val="21"/>
                <w:lang w:eastAsia="zh-CN"/>
              </w:rPr>
              <w:t>调节价值突出，但依赖市场机制和聚合平台</w:t>
            </w:r>
          </w:p>
        </w:tc>
        <w:tc>
          <w:tcPr>
            <w:tcW w:w="2721" w:type="dxa"/>
            <w:tcBorders>
              <w:top w:val="nil"/>
              <w:left w:val="nil"/>
              <w:bottom w:val="nil"/>
              <w:right w:val="nil"/>
            </w:tcBorders>
            <w:tcMar>
              <w:top w:w="80" w:type="dxa"/>
              <w:left w:w="90" w:type="dxa"/>
              <w:bottom w:w="80" w:type="dxa"/>
              <w:right w:w="90" w:type="dxa"/>
            </w:tcMar>
            <w:vAlign w:val="center"/>
          </w:tcPr>
          <w:p w14:paraId="1F7B18C1">
            <w:pPr>
              <w:spacing w:after="0" w:line="240" w:lineRule="auto"/>
              <w:rPr>
                <w:lang w:eastAsia="zh-CN"/>
              </w:rPr>
            </w:pPr>
            <w:r>
              <w:rPr>
                <w:color w:val="000000"/>
                <w:sz w:val="21"/>
                <w:lang w:eastAsia="zh-CN"/>
              </w:rPr>
              <w:t>作为中远期机制衔接方向</w:t>
            </w:r>
          </w:p>
        </w:tc>
      </w:tr>
      <w:tr w14:paraId="67FDEF73">
        <w:tblPrEx>
          <w:tblCellMar>
            <w:top w:w="0" w:type="dxa"/>
            <w:left w:w="108" w:type="dxa"/>
            <w:bottom w:w="0" w:type="dxa"/>
            <w:right w:w="108" w:type="dxa"/>
          </w:tblCellMar>
        </w:tblPrEx>
        <w:trPr>
          <w:trHeight w:val="274" w:hRule="atLeast"/>
          <w:jc w:val="center"/>
        </w:trPr>
        <w:tc>
          <w:tcPr>
            <w:tcW w:w="1701" w:type="dxa"/>
            <w:tcBorders>
              <w:top w:val="nil"/>
              <w:left w:val="nil"/>
              <w:bottom w:val="nil"/>
              <w:right w:val="nil"/>
            </w:tcBorders>
            <w:tcMar>
              <w:top w:w="80" w:type="dxa"/>
              <w:left w:w="90" w:type="dxa"/>
              <w:bottom w:w="80" w:type="dxa"/>
              <w:right w:w="90" w:type="dxa"/>
            </w:tcMar>
            <w:vAlign w:val="center"/>
          </w:tcPr>
          <w:p w14:paraId="27458D03">
            <w:pPr>
              <w:spacing w:after="0" w:line="240" w:lineRule="auto"/>
              <w:jc w:val="center"/>
            </w:pPr>
            <w:r>
              <w:rPr>
                <w:color w:val="000000"/>
                <w:sz w:val="21"/>
              </w:rPr>
              <w:t>零碳园区</w:t>
            </w:r>
          </w:p>
        </w:tc>
        <w:tc>
          <w:tcPr>
            <w:tcW w:w="4139" w:type="dxa"/>
            <w:tcBorders>
              <w:top w:val="nil"/>
              <w:left w:val="nil"/>
              <w:bottom w:val="nil"/>
              <w:right w:val="nil"/>
            </w:tcBorders>
            <w:tcMar>
              <w:top w:w="80" w:type="dxa"/>
              <w:left w:w="90" w:type="dxa"/>
              <w:bottom w:w="80" w:type="dxa"/>
              <w:right w:w="90" w:type="dxa"/>
            </w:tcMar>
            <w:vAlign w:val="center"/>
          </w:tcPr>
          <w:p w14:paraId="323F74FF">
            <w:pPr>
              <w:spacing w:after="0" w:line="240" w:lineRule="auto"/>
              <w:rPr>
                <w:lang w:eastAsia="zh-CN"/>
              </w:rPr>
            </w:pPr>
            <w:r>
              <w:rPr>
                <w:color w:val="000000"/>
                <w:sz w:val="21"/>
                <w:lang w:eastAsia="zh-CN"/>
              </w:rPr>
              <w:t>治理体系较成熟，但未来产业新赛道辨识度有限</w:t>
            </w:r>
          </w:p>
        </w:tc>
        <w:tc>
          <w:tcPr>
            <w:tcW w:w="2721" w:type="dxa"/>
            <w:tcBorders>
              <w:top w:val="nil"/>
              <w:left w:val="nil"/>
              <w:bottom w:val="nil"/>
              <w:right w:val="nil"/>
            </w:tcBorders>
            <w:tcMar>
              <w:top w:w="80" w:type="dxa"/>
              <w:left w:w="90" w:type="dxa"/>
              <w:bottom w:w="80" w:type="dxa"/>
              <w:right w:w="90" w:type="dxa"/>
            </w:tcMar>
            <w:vAlign w:val="center"/>
          </w:tcPr>
          <w:p w14:paraId="47782A5C">
            <w:pPr>
              <w:spacing w:after="0" w:line="240" w:lineRule="auto"/>
              <w:rPr>
                <w:lang w:eastAsia="zh-CN"/>
              </w:rPr>
            </w:pPr>
            <w:r>
              <w:rPr>
                <w:color w:val="000000"/>
                <w:sz w:val="21"/>
                <w:lang w:eastAsia="zh-CN"/>
              </w:rPr>
              <w:t>作为应用场景和评价参照</w:t>
            </w:r>
          </w:p>
        </w:tc>
      </w:tr>
      <w:tr w14:paraId="452CD995">
        <w:tblPrEx>
          <w:tblCellMar>
            <w:top w:w="0" w:type="dxa"/>
            <w:left w:w="108" w:type="dxa"/>
            <w:bottom w:w="0" w:type="dxa"/>
            <w:right w:w="108" w:type="dxa"/>
          </w:tblCellMar>
        </w:tblPrEx>
        <w:trPr>
          <w:jc w:val="center"/>
        </w:trPr>
        <w:tc>
          <w:tcPr>
            <w:tcW w:w="1701" w:type="dxa"/>
            <w:tcBorders>
              <w:top w:val="nil"/>
              <w:left w:val="nil"/>
              <w:bottom w:val="single" w:color="000000" w:sz="12" w:space="0"/>
              <w:right w:val="nil"/>
            </w:tcBorders>
            <w:tcMar>
              <w:top w:w="80" w:type="dxa"/>
              <w:left w:w="90" w:type="dxa"/>
              <w:bottom w:w="80" w:type="dxa"/>
              <w:right w:w="90" w:type="dxa"/>
            </w:tcMar>
            <w:vAlign w:val="center"/>
          </w:tcPr>
          <w:p w14:paraId="13D7FB6D">
            <w:pPr>
              <w:spacing w:after="0" w:line="240" w:lineRule="auto"/>
              <w:jc w:val="center"/>
              <w:rPr>
                <w:lang w:eastAsia="zh-CN"/>
              </w:rPr>
            </w:pPr>
            <w:r>
              <w:rPr>
                <w:color w:val="000000"/>
                <w:sz w:val="21"/>
                <w:lang w:eastAsia="zh-CN"/>
              </w:rPr>
              <w:t>县域算电协同边缘算力</w:t>
            </w:r>
          </w:p>
        </w:tc>
        <w:tc>
          <w:tcPr>
            <w:tcW w:w="4139" w:type="dxa"/>
            <w:tcBorders>
              <w:top w:val="nil"/>
              <w:left w:val="nil"/>
              <w:bottom w:val="single" w:color="000000" w:sz="12" w:space="0"/>
              <w:right w:val="nil"/>
            </w:tcBorders>
            <w:tcMar>
              <w:top w:w="80" w:type="dxa"/>
              <w:left w:w="90" w:type="dxa"/>
              <w:bottom w:w="80" w:type="dxa"/>
              <w:right w:w="90" w:type="dxa"/>
            </w:tcMar>
            <w:vAlign w:val="center"/>
          </w:tcPr>
          <w:p w14:paraId="5FD5469C">
            <w:pPr>
              <w:spacing w:after="0" w:line="240" w:lineRule="auto"/>
              <w:rPr>
                <w:lang w:eastAsia="zh-CN"/>
              </w:rPr>
            </w:pPr>
            <w:r>
              <w:rPr>
                <w:color w:val="000000"/>
                <w:sz w:val="21"/>
                <w:lang w:eastAsia="zh-CN"/>
              </w:rPr>
              <w:t>融合绿电消纳、边缘算力、轻量化AI和柔性负荷调度，县域适配性与可验证性较强</w:t>
            </w:r>
          </w:p>
        </w:tc>
        <w:tc>
          <w:tcPr>
            <w:tcW w:w="2721" w:type="dxa"/>
            <w:tcBorders>
              <w:top w:val="nil"/>
              <w:left w:val="nil"/>
              <w:bottom w:val="single" w:color="000000" w:sz="12" w:space="0"/>
              <w:right w:val="nil"/>
            </w:tcBorders>
            <w:tcMar>
              <w:top w:w="80" w:type="dxa"/>
              <w:left w:w="90" w:type="dxa"/>
              <w:bottom w:w="80" w:type="dxa"/>
              <w:right w:w="90" w:type="dxa"/>
            </w:tcMar>
            <w:vAlign w:val="center"/>
          </w:tcPr>
          <w:p w14:paraId="1402A97D">
            <w:pPr>
              <w:spacing w:after="0" w:line="240" w:lineRule="auto"/>
              <w:jc w:val="center"/>
            </w:pPr>
            <w:r>
              <w:rPr>
                <w:color w:val="000000"/>
                <w:sz w:val="21"/>
              </w:rPr>
              <w:t>作为本作品主赛道</w:t>
            </w:r>
          </w:p>
        </w:tc>
      </w:tr>
    </w:tbl>
    <w:p w14:paraId="64A3F34E">
      <w:pPr>
        <w:pStyle w:val="30"/>
        <w:shd w:val="clear" w:color="auto" w:fill="FFFFFF"/>
        <w:spacing w:beforeAutospacing="0" w:afterAutospacing="0" w:line="360" w:lineRule="auto"/>
        <w:ind w:firstLine="480" w:firstLineChars="200"/>
        <w:jc w:val="both"/>
        <w:rPr>
          <w:rFonts w:hint="eastAsia" w:ascii="宋体" w:hAnsi="宋体" w:cs="宋体"/>
          <w:color w:val="0F1115"/>
          <w:szCs w:val="24"/>
          <w:shd w:val="clear" w:color="auto" w:fill="FFFFFF"/>
        </w:rPr>
      </w:pPr>
      <w:r>
        <w:rPr>
          <w:color w:val="000000"/>
        </w:rPr>
        <w:t>在完成五类能源未来产业方向的横向比较后，为进一步归纳县域算电协同边缘算力被确定为本作品主赛道的内在依据，可从政策契合、技术支撑、县域适配和可验证性四个方面构建赛道选择支撑逻辑，如图1-</w:t>
      </w:r>
      <w:r>
        <w:rPr>
          <w:rFonts w:hint="eastAsia"/>
          <w:color w:val="000000"/>
          <w:lang w:val="en-US" w:eastAsia="zh-CN"/>
        </w:rPr>
        <w:t>6</w:t>
      </w:r>
      <w:r>
        <w:rPr>
          <w:color w:val="000000"/>
        </w:rPr>
        <w:t>所示。</w:t>
      </w:r>
    </w:p>
    <w:p w14:paraId="00B9F0CD">
      <w:pPr>
        <w:keepNext/>
        <w:spacing w:after="0" w:line="360" w:lineRule="auto"/>
        <w:jc w:val="center"/>
      </w:pPr>
      <w:r>
        <w:drawing>
          <wp:inline distT="0" distB="0" distL="114300" distR="114300">
            <wp:extent cx="5176520" cy="2428240"/>
            <wp:effectExtent l="0" t="0" r="5080" b="1016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3"/>
                    <a:stretch>
                      <a:fillRect/>
                    </a:stretch>
                  </pic:blipFill>
                  <pic:spPr>
                    <a:xfrm>
                      <a:off x="0" y="0"/>
                      <a:ext cx="5176520" cy="2428240"/>
                    </a:xfrm>
                    <a:prstGeom prst="rect">
                      <a:avLst/>
                    </a:prstGeom>
                    <a:noFill/>
                    <a:ln>
                      <a:noFill/>
                    </a:ln>
                  </pic:spPr>
                </pic:pic>
              </a:graphicData>
            </a:graphic>
          </wp:inline>
        </w:drawing>
      </w:r>
    </w:p>
    <w:p w14:paraId="78578671">
      <w:pPr>
        <w:spacing w:before="80" w:after="40" w:line="240" w:lineRule="auto"/>
        <w:jc w:val="center"/>
        <w:rPr>
          <w:rFonts w:hint="eastAsia" w:ascii="宋体" w:hAnsi="宋体" w:cs="宋体"/>
          <w:b/>
          <w:bCs/>
          <w:sz w:val="18"/>
          <w:szCs w:val="18"/>
          <w:lang w:eastAsia="zh-CN"/>
        </w:rPr>
      </w:pPr>
      <w:r>
        <w:rPr>
          <w:color w:val="000000"/>
          <w:sz w:val="21"/>
          <w:lang w:eastAsia="zh-CN"/>
        </w:rPr>
        <w:t>图1-</w:t>
      </w:r>
      <w:r>
        <w:rPr>
          <w:rFonts w:hint="eastAsia"/>
          <w:color w:val="000000"/>
          <w:sz w:val="21"/>
          <w:lang w:val="en-US" w:eastAsia="zh-CN"/>
        </w:rPr>
        <w:t>6</w:t>
      </w:r>
      <w:r>
        <w:rPr>
          <w:color w:val="000000"/>
          <w:sz w:val="21"/>
          <w:lang w:eastAsia="zh-CN"/>
        </w:rPr>
        <w:t xml:space="preserve"> 能源领域未来产业方向筛选逻辑图</w:t>
      </w:r>
    </w:p>
    <w:p w14:paraId="50CD9011">
      <w:pPr>
        <w:spacing w:after="0" w:line="360" w:lineRule="auto"/>
        <w:ind w:firstLine="480" w:firstLineChars="200"/>
        <w:jc w:val="both"/>
        <w:rPr>
          <w:rFonts w:hint="eastAsia" w:ascii="宋体" w:hAnsi="宋体" w:cs="宋体"/>
          <w:b/>
          <w:bCs/>
          <w:szCs w:val="24"/>
          <w:lang w:eastAsia="zh-CN"/>
        </w:rPr>
      </w:pPr>
      <w:r>
        <w:rPr>
          <w:lang w:eastAsia="zh-CN"/>
        </w:rPr>
        <w:t>县域算电协同边缘算力的赛道价值主要体现在四个方面：一是与新型电力系统、绿色算力和人工智能能源应用等政策方向具有较高契合度；二是具备绿电预测、算力调度、源网荷储算碳优化等关键技术支撑；三是能够匹配县域分布式绿电资源、轻量化AI需求和配电网基础；四是可通过通用县域仿真、AI原型和典型县域参数替换开展验证。由此可见，该方向不仅具有未来产业属性，也具备较强的县域落地基础和研究可验证性[2][3][4][5]。</w:t>
      </w:r>
    </w:p>
    <w:p w14:paraId="791CBAA8">
      <w:pPr>
        <w:spacing w:after="0" w:line="360" w:lineRule="auto"/>
        <w:ind w:firstLine="480" w:firstLineChars="200"/>
        <w:jc w:val="both"/>
        <w:rPr>
          <w:rFonts w:hint="eastAsia" w:ascii="宋体" w:hAnsi="宋体" w:cs="宋体"/>
          <w:szCs w:val="24"/>
          <w:lang w:eastAsia="zh-CN"/>
        </w:rPr>
      </w:pPr>
      <w:r>
        <w:rPr>
          <w:rFonts w:cs="宋体"/>
          <w:color w:val="000000"/>
          <w:szCs w:val="24"/>
          <w:lang w:eastAsia="zh-CN"/>
        </w:rPr>
        <w:t>综合比较可知，县域算电协同边缘算力并非单项技术成熟度最高的方向，但其能够将分布式绿电消纳、边缘算力供给、轻量化AI应用和电—算—碳协同调度纳入同一产业框架，兼具前瞻性、战略性、县域适配性和研究可验证性。因此，本作品将县域算电协同边缘算力确定为能源领域未来产业重点研判方向，并在后续章节进一步开展关键技术识别、模型仿真验证和培育路径设计。</w:t>
      </w:r>
    </w:p>
    <w:p w14:paraId="5E31C11B">
      <w:pPr>
        <w:keepNext/>
        <w:spacing w:before="160" w:after="120" w:line="288" w:lineRule="auto"/>
        <w:rPr>
          <w:lang w:eastAsia="zh-CN"/>
        </w:rPr>
      </w:pPr>
      <w:r>
        <w:rPr>
          <w:rFonts w:eastAsia="黑体"/>
          <w:b/>
          <w:color w:val="000000"/>
          <w:sz w:val="30"/>
          <w:lang w:eastAsia="zh-CN"/>
        </w:rPr>
        <w:t>1.8 发展路线研判与闽清县典型验证场景定位</w:t>
      </w:r>
    </w:p>
    <w:p w14:paraId="35CA0F3D">
      <w:pPr>
        <w:spacing w:after="0" w:line="360" w:lineRule="auto"/>
        <w:ind w:firstLine="480" w:firstLineChars="200"/>
        <w:jc w:val="both"/>
        <w:rPr>
          <w:rFonts w:hint="eastAsia" w:ascii="宋体" w:hAnsi="宋体" w:cs="宋体"/>
          <w:szCs w:val="24"/>
          <w:lang w:eastAsia="zh-CN"/>
        </w:rPr>
      </w:pPr>
      <w:r>
        <w:rPr>
          <w:rFonts w:cs="宋体"/>
          <w:color w:val="000000"/>
          <w:szCs w:val="24"/>
          <w:lang w:eastAsia="zh-CN"/>
        </w:rPr>
        <w:t>县域算电协同边缘算力产业仍处于培育探索阶段，其发展应遵循“试点验证—多点复制—生态成型”的渐进式路径。2026—2028年可作为试点验证期，重点围绕绿电出力预测、边缘算力负载弹性调度、源网荷储算碳协同优化、储能协同与关键任务保障、轻量化AI应用部署等方向开展基础验证；2029—2032年可进入多点复制期，在不同资源禀赋和产业结构的县域开展分类推广；2033—2035年可逐步进入生态成型期，推动绿色算力服务、算电协同调度、碳管理和县域AI应用生态协同发展。</w:t>
      </w:r>
    </w:p>
    <w:p w14:paraId="23B75640">
      <w:pPr>
        <w:keepNext/>
        <w:spacing w:line="360" w:lineRule="auto"/>
        <w:jc w:val="center"/>
      </w:pPr>
      <w:r>
        <w:drawing>
          <wp:inline distT="0" distB="0" distL="114300" distR="114300">
            <wp:extent cx="5593080" cy="3599815"/>
            <wp:effectExtent l="0" t="0" r="0" b="12065"/>
            <wp:docPr id="14220630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63097" name="图片 7"/>
                    <pic:cNvPicPr>
                      <a:picLocks noChangeAspect="1"/>
                    </pic:cNvPicPr>
                  </pic:nvPicPr>
                  <pic:blipFill>
                    <a:blip r:embed="rId14"/>
                    <a:stretch>
                      <a:fillRect/>
                    </a:stretch>
                  </pic:blipFill>
                  <pic:spPr>
                    <a:xfrm>
                      <a:off x="0" y="0"/>
                      <a:ext cx="5593080" cy="3599815"/>
                    </a:xfrm>
                    <a:prstGeom prst="rect">
                      <a:avLst/>
                    </a:prstGeom>
                    <a:noFill/>
                    <a:ln>
                      <a:noFill/>
                    </a:ln>
                  </pic:spPr>
                </pic:pic>
              </a:graphicData>
            </a:graphic>
          </wp:inline>
        </w:drawing>
      </w:r>
    </w:p>
    <w:p w14:paraId="4B74ACD7">
      <w:pPr>
        <w:spacing w:before="80" w:after="40" w:line="240" w:lineRule="auto"/>
        <w:jc w:val="center"/>
        <w:rPr>
          <w:rFonts w:hint="eastAsia" w:ascii="宋体" w:hAnsi="宋体" w:cs="宋体"/>
          <w:szCs w:val="24"/>
          <w:lang w:eastAsia="zh-CN"/>
        </w:rPr>
      </w:pPr>
      <w:r>
        <w:rPr>
          <w:color w:val="000000"/>
          <w:sz w:val="21"/>
          <w:lang w:eastAsia="zh-CN"/>
        </w:rPr>
        <w:t>图1-</w:t>
      </w:r>
      <w:r>
        <w:rPr>
          <w:rFonts w:hint="eastAsia"/>
          <w:color w:val="000000"/>
          <w:sz w:val="21"/>
          <w:lang w:val="en-US" w:eastAsia="zh-CN"/>
        </w:rPr>
        <w:t>7</w:t>
      </w:r>
      <w:r>
        <w:rPr>
          <w:color w:val="000000"/>
          <w:sz w:val="21"/>
          <w:lang w:eastAsia="zh-CN"/>
        </w:rPr>
        <w:t xml:space="preserve"> 2026—2035 年发展路线图</w:t>
      </w:r>
    </w:p>
    <w:p w14:paraId="56179AE8">
      <w:pPr>
        <w:pStyle w:val="30"/>
        <w:spacing w:beforeAutospacing="0" w:afterAutospacing="0" w:line="360" w:lineRule="auto"/>
        <w:ind w:firstLine="480" w:firstLineChars="200"/>
        <w:jc w:val="both"/>
      </w:pPr>
      <w:r>
        <w:rPr>
          <w:color w:val="000000"/>
        </w:rPr>
        <w:t>由图1-</w:t>
      </w:r>
      <w:r>
        <w:rPr>
          <w:rFonts w:hint="eastAsia"/>
          <w:color w:val="000000"/>
          <w:lang w:val="en-US" w:eastAsia="zh-CN"/>
        </w:rPr>
        <w:t>7</w:t>
      </w:r>
      <w:r>
        <w:rPr>
          <w:color w:val="000000"/>
        </w:rPr>
        <w:t>可见，县域算电协同边缘算力产业的技术演进并非单项技术突破，而是多类关键技术协同成熟的过程。试点验证期侧重基础模型、任务调度和小规模应用验证；多点复制期侧重跨区域适配、负载感知调度和多节点协同；生态成型期则强调智能自治、绿色算力服务和产业生态协同。该路线图从技术成熟度、关键突破和阶段性指标三个层面，为后续关键技术识别与模型仿真验证提供方向依据。</w:t>
      </w:r>
    </w:p>
    <w:p w14:paraId="629E9836">
      <w:pPr>
        <w:pStyle w:val="30"/>
        <w:spacing w:beforeAutospacing="0" w:afterAutospacing="0" w:line="360" w:lineRule="auto"/>
        <w:ind w:firstLine="480" w:firstLineChars="200"/>
        <w:jc w:val="both"/>
      </w:pPr>
      <w:r>
        <w:rPr>
          <w:color w:val="000000"/>
        </w:rPr>
        <w:t>闽清县可作为本作品后续典型验证场景，其作用不是限定研究边界，而是为模型参数替换、AI应用原型和试点方案设计提供具体样本。该场景可用于检验县域算电协同边缘算力在资源适配、任务适配、技术可行性和推广代表性等方面的条件，为后续章节开展仿真验证和培育路径设计提供现实依据。</w:t>
      </w:r>
    </w:p>
    <w:p w14:paraId="794238F7">
      <w:pPr>
        <w:keepNext/>
        <w:spacing w:before="80" w:after="40" w:line="240" w:lineRule="auto"/>
        <w:jc w:val="center"/>
        <w:rPr>
          <w:lang w:eastAsia="zh-CN"/>
        </w:rPr>
      </w:pPr>
      <w:r>
        <w:rPr>
          <w:b/>
          <w:color w:val="000000"/>
          <w:sz w:val="21"/>
          <w:lang w:eastAsia="zh-CN"/>
        </w:rPr>
        <w:t>表1-9 闽清县典型验证场景定位与边界</w:t>
      </w:r>
    </w:p>
    <w:tbl>
      <w:tblPr>
        <w:tblStyle w:val="33"/>
        <w:tblW w:w="0" w:type="auto"/>
        <w:jc w:val="center"/>
        <w:tblLayout w:type="autofit"/>
        <w:tblCellMar>
          <w:top w:w="0" w:type="dxa"/>
          <w:left w:w="108" w:type="dxa"/>
          <w:bottom w:w="0" w:type="dxa"/>
          <w:right w:w="108" w:type="dxa"/>
        </w:tblCellMar>
      </w:tblPr>
      <w:tblGrid>
        <w:gridCol w:w="1701"/>
        <w:gridCol w:w="3969"/>
        <w:gridCol w:w="2835"/>
      </w:tblGrid>
      <w:tr w14:paraId="697DA95C">
        <w:tblPrEx>
          <w:tblCellMar>
            <w:top w:w="0" w:type="dxa"/>
            <w:left w:w="108" w:type="dxa"/>
            <w:bottom w:w="0" w:type="dxa"/>
            <w:right w:w="108" w:type="dxa"/>
          </w:tblCellMar>
        </w:tblPrEx>
        <w:trPr>
          <w:tblHeader/>
          <w:jc w:val="center"/>
        </w:trPr>
        <w:tc>
          <w:tcPr>
            <w:tcW w:w="1701"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7C904467">
            <w:pPr>
              <w:spacing w:after="0" w:line="240" w:lineRule="auto"/>
              <w:jc w:val="center"/>
            </w:pPr>
            <w:r>
              <w:rPr>
                <w:b/>
                <w:color w:val="000000"/>
                <w:sz w:val="21"/>
              </w:rPr>
              <w:t>验证维度</w:t>
            </w:r>
          </w:p>
        </w:tc>
        <w:tc>
          <w:tcPr>
            <w:tcW w:w="3969"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459D1A2E">
            <w:pPr>
              <w:spacing w:after="0" w:line="240" w:lineRule="auto"/>
              <w:jc w:val="center"/>
            </w:pPr>
            <w:r>
              <w:rPr>
                <w:b/>
                <w:color w:val="000000"/>
                <w:sz w:val="21"/>
              </w:rPr>
              <w:t>验证内容</w:t>
            </w:r>
          </w:p>
        </w:tc>
        <w:tc>
          <w:tcPr>
            <w:tcW w:w="2835" w:type="dxa"/>
            <w:tcBorders>
              <w:top w:val="single" w:color="000000" w:sz="12" w:space="0"/>
              <w:left w:val="nil"/>
              <w:bottom w:val="single" w:color="000000" w:sz="8" w:space="0"/>
              <w:right w:val="nil"/>
            </w:tcBorders>
            <w:tcMar>
              <w:top w:w="80" w:type="dxa"/>
              <w:left w:w="90" w:type="dxa"/>
              <w:bottom w:w="80" w:type="dxa"/>
              <w:right w:w="90" w:type="dxa"/>
            </w:tcMar>
            <w:vAlign w:val="center"/>
          </w:tcPr>
          <w:p w14:paraId="37022CCE">
            <w:pPr>
              <w:spacing w:after="0" w:line="240" w:lineRule="auto"/>
              <w:jc w:val="center"/>
            </w:pPr>
            <w:r>
              <w:rPr>
                <w:b/>
                <w:color w:val="000000"/>
                <w:sz w:val="21"/>
              </w:rPr>
              <w:t>边界说明</w:t>
            </w:r>
          </w:p>
        </w:tc>
      </w:tr>
      <w:tr w14:paraId="0EE76239">
        <w:tblPrEx>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90" w:type="dxa"/>
              <w:bottom w:w="80" w:type="dxa"/>
              <w:right w:w="90" w:type="dxa"/>
            </w:tcMar>
            <w:vAlign w:val="center"/>
          </w:tcPr>
          <w:p w14:paraId="14D7160D">
            <w:pPr>
              <w:spacing w:after="0" w:line="240" w:lineRule="auto"/>
              <w:jc w:val="center"/>
            </w:pPr>
            <w:r>
              <w:rPr>
                <w:color w:val="000000"/>
                <w:sz w:val="21"/>
              </w:rPr>
              <w:t>资源适配性</w:t>
            </w:r>
          </w:p>
        </w:tc>
        <w:tc>
          <w:tcPr>
            <w:tcW w:w="3969" w:type="dxa"/>
            <w:tcBorders>
              <w:top w:val="nil"/>
              <w:left w:val="nil"/>
              <w:bottom w:val="nil"/>
              <w:right w:val="nil"/>
            </w:tcBorders>
            <w:tcMar>
              <w:top w:w="80" w:type="dxa"/>
              <w:left w:w="90" w:type="dxa"/>
              <w:bottom w:w="80" w:type="dxa"/>
              <w:right w:w="90" w:type="dxa"/>
            </w:tcMar>
            <w:vAlign w:val="center"/>
          </w:tcPr>
          <w:p w14:paraId="1A75AC38">
            <w:pPr>
              <w:spacing w:after="0" w:line="240" w:lineRule="auto"/>
              <w:rPr>
                <w:lang w:eastAsia="zh-CN"/>
              </w:rPr>
            </w:pPr>
            <w:r>
              <w:rPr>
                <w:color w:val="000000"/>
                <w:sz w:val="21"/>
                <w:lang w:eastAsia="zh-CN"/>
              </w:rPr>
              <w:t>分布式光伏、小水电及其他本地绿电资源与算力负荷匹配潜力</w:t>
            </w:r>
          </w:p>
        </w:tc>
        <w:tc>
          <w:tcPr>
            <w:tcW w:w="2835" w:type="dxa"/>
            <w:tcBorders>
              <w:top w:val="nil"/>
              <w:left w:val="nil"/>
              <w:bottom w:val="nil"/>
              <w:right w:val="nil"/>
            </w:tcBorders>
            <w:tcMar>
              <w:top w:w="80" w:type="dxa"/>
              <w:left w:w="90" w:type="dxa"/>
              <w:bottom w:w="80" w:type="dxa"/>
              <w:right w:w="90" w:type="dxa"/>
            </w:tcMar>
            <w:vAlign w:val="center"/>
          </w:tcPr>
          <w:p w14:paraId="2F5C9C5D">
            <w:pPr>
              <w:spacing w:after="0" w:line="240" w:lineRule="auto"/>
              <w:rPr>
                <w:lang w:eastAsia="zh-CN"/>
              </w:rPr>
            </w:pPr>
            <w:r>
              <w:rPr>
                <w:color w:val="000000"/>
                <w:sz w:val="21"/>
                <w:lang w:eastAsia="zh-CN"/>
              </w:rPr>
              <w:t>需使用公开资料或可公开调研数据核验</w:t>
            </w:r>
          </w:p>
        </w:tc>
      </w:tr>
      <w:tr w14:paraId="3AE4D1C1">
        <w:tblPrEx>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90" w:type="dxa"/>
              <w:bottom w:w="80" w:type="dxa"/>
              <w:right w:w="90" w:type="dxa"/>
            </w:tcMar>
            <w:vAlign w:val="center"/>
          </w:tcPr>
          <w:p w14:paraId="5DAFCE4A">
            <w:pPr>
              <w:spacing w:after="0" w:line="240" w:lineRule="auto"/>
              <w:jc w:val="center"/>
            </w:pPr>
            <w:r>
              <w:rPr>
                <w:color w:val="000000"/>
                <w:sz w:val="21"/>
              </w:rPr>
              <w:t>任务适配性</w:t>
            </w:r>
          </w:p>
        </w:tc>
        <w:tc>
          <w:tcPr>
            <w:tcW w:w="3969" w:type="dxa"/>
            <w:tcBorders>
              <w:top w:val="nil"/>
              <w:left w:val="nil"/>
              <w:bottom w:val="nil"/>
              <w:right w:val="nil"/>
            </w:tcBorders>
            <w:tcMar>
              <w:top w:w="80" w:type="dxa"/>
              <w:left w:w="90" w:type="dxa"/>
              <w:bottom w:w="80" w:type="dxa"/>
              <w:right w:w="90" w:type="dxa"/>
            </w:tcMar>
            <w:vAlign w:val="center"/>
          </w:tcPr>
          <w:p w14:paraId="3C89E5D1">
            <w:pPr>
              <w:spacing w:after="0" w:line="240" w:lineRule="auto"/>
              <w:rPr>
                <w:lang w:eastAsia="zh-CN"/>
              </w:rPr>
            </w:pPr>
            <w:r>
              <w:rPr>
                <w:color w:val="000000"/>
                <w:sz w:val="21"/>
                <w:lang w:eastAsia="zh-CN"/>
              </w:rPr>
              <w:t>工业质检、能源巡检、农业识别、园区能耗管理等轻量化AI场景</w:t>
            </w:r>
          </w:p>
        </w:tc>
        <w:tc>
          <w:tcPr>
            <w:tcW w:w="2835" w:type="dxa"/>
            <w:tcBorders>
              <w:top w:val="nil"/>
              <w:left w:val="nil"/>
              <w:bottom w:val="nil"/>
              <w:right w:val="nil"/>
            </w:tcBorders>
            <w:tcMar>
              <w:top w:w="80" w:type="dxa"/>
              <w:left w:w="90" w:type="dxa"/>
              <w:bottom w:w="80" w:type="dxa"/>
              <w:right w:w="90" w:type="dxa"/>
            </w:tcMar>
            <w:vAlign w:val="center"/>
          </w:tcPr>
          <w:p w14:paraId="11426336">
            <w:pPr>
              <w:spacing w:after="0" w:line="240" w:lineRule="auto"/>
              <w:rPr>
                <w:lang w:eastAsia="zh-CN"/>
              </w:rPr>
            </w:pPr>
            <w:r>
              <w:rPr>
                <w:color w:val="000000"/>
                <w:sz w:val="21"/>
                <w:lang w:eastAsia="zh-CN"/>
              </w:rPr>
              <w:t>不假定所有场景均已具备规模化需求</w:t>
            </w:r>
          </w:p>
        </w:tc>
      </w:tr>
      <w:tr w14:paraId="37840027">
        <w:tblPrEx>
          <w:tblCellMar>
            <w:top w:w="0" w:type="dxa"/>
            <w:left w:w="108" w:type="dxa"/>
            <w:bottom w:w="0" w:type="dxa"/>
            <w:right w:w="108" w:type="dxa"/>
          </w:tblCellMar>
        </w:tblPrEx>
        <w:trPr>
          <w:jc w:val="center"/>
        </w:trPr>
        <w:tc>
          <w:tcPr>
            <w:tcW w:w="1701" w:type="dxa"/>
            <w:tcBorders>
              <w:top w:val="nil"/>
              <w:left w:val="nil"/>
              <w:bottom w:val="nil"/>
              <w:right w:val="nil"/>
            </w:tcBorders>
            <w:tcMar>
              <w:top w:w="80" w:type="dxa"/>
              <w:left w:w="90" w:type="dxa"/>
              <w:bottom w:w="80" w:type="dxa"/>
              <w:right w:w="90" w:type="dxa"/>
            </w:tcMar>
            <w:vAlign w:val="center"/>
          </w:tcPr>
          <w:p w14:paraId="774FA95C">
            <w:pPr>
              <w:spacing w:after="0" w:line="240" w:lineRule="auto"/>
              <w:jc w:val="center"/>
            </w:pPr>
            <w:r>
              <w:rPr>
                <w:color w:val="000000"/>
                <w:sz w:val="21"/>
              </w:rPr>
              <w:t>技术可行性</w:t>
            </w:r>
          </w:p>
        </w:tc>
        <w:tc>
          <w:tcPr>
            <w:tcW w:w="3969" w:type="dxa"/>
            <w:tcBorders>
              <w:top w:val="nil"/>
              <w:left w:val="nil"/>
              <w:bottom w:val="nil"/>
              <w:right w:val="nil"/>
            </w:tcBorders>
            <w:tcMar>
              <w:top w:w="80" w:type="dxa"/>
              <w:left w:w="90" w:type="dxa"/>
              <w:bottom w:w="80" w:type="dxa"/>
              <w:right w:w="90" w:type="dxa"/>
            </w:tcMar>
            <w:vAlign w:val="center"/>
          </w:tcPr>
          <w:p w14:paraId="46211CDE">
            <w:pPr>
              <w:spacing w:after="0" w:line="240" w:lineRule="auto"/>
              <w:rPr>
                <w:lang w:eastAsia="zh-CN"/>
              </w:rPr>
            </w:pPr>
            <w:r>
              <w:rPr>
                <w:color w:val="000000"/>
                <w:sz w:val="21"/>
                <w:lang w:eastAsia="zh-CN"/>
              </w:rPr>
              <w:t>通用县域模型参数替换、实验室算力设备参数接入、AI原型验证</w:t>
            </w:r>
          </w:p>
        </w:tc>
        <w:tc>
          <w:tcPr>
            <w:tcW w:w="2835" w:type="dxa"/>
            <w:tcBorders>
              <w:top w:val="nil"/>
              <w:left w:val="nil"/>
              <w:bottom w:val="nil"/>
              <w:right w:val="nil"/>
            </w:tcBorders>
            <w:tcMar>
              <w:top w:w="80" w:type="dxa"/>
              <w:left w:w="90" w:type="dxa"/>
              <w:bottom w:w="80" w:type="dxa"/>
              <w:right w:w="90" w:type="dxa"/>
            </w:tcMar>
            <w:vAlign w:val="center"/>
          </w:tcPr>
          <w:p w14:paraId="7F5D4098">
            <w:pPr>
              <w:spacing w:after="0" w:line="240" w:lineRule="auto"/>
              <w:rPr>
                <w:lang w:eastAsia="zh-CN"/>
              </w:rPr>
            </w:pPr>
            <w:r>
              <w:rPr>
                <w:color w:val="000000"/>
                <w:sz w:val="21"/>
                <w:lang w:eastAsia="zh-CN"/>
              </w:rPr>
              <w:t>优先完成一级数据替换仿真，二级原型验证视条件推进</w:t>
            </w:r>
          </w:p>
        </w:tc>
      </w:tr>
      <w:tr w14:paraId="5941D77B">
        <w:tblPrEx>
          <w:tblCellMar>
            <w:top w:w="0" w:type="dxa"/>
            <w:left w:w="108" w:type="dxa"/>
            <w:bottom w:w="0" w:type="dxa"/>
            <w:right w:w="108" w:type="dxa"/>
          </w:tblCellMar>
        </w:tblPrEx>
        <w:trPr>
          <w:jc w:val="center"/>
        </w:trPr>
        <w:tc>
          <w:tcPr>
            <w:tcW w:w="1701" w:type="dxa"/>
            <w:tcBorders>
              <w:top w:val="nil"/>
              <w:left w:val="nil"/>
              <w:bottom w:val="single" w:color="000000" w:sz="12" w:space="0"/>
              <w:right w:val="nil"/>
            </w:tcBorders>
            <w:tcMar>
              <w:top w:w="80" w:type="dxa"/>
              <w:left w:w="90" w:type="dxa"/>
              <w:bottom w:w="80" w:type="dxa"/>
              <w:right w:w="90" w:type="dxa"/>
            </w:tcMar>
            <w:vAlign w:val="center"/>
          </w:tcPr>
          <w:p w14:paraId="5E06B899">
            <w:pPr>
              <w:spacing w:after="0" w:line="240" w:lineRule="auto"/>
              <w:jc w:val="center"/>
            </w:pPr>
            <w:r>
              <w:rPr>
                <w:color w:val="000000"/>
                <w:sz w:val="21"/>
              </w:rPr>
              <w:t>推广代表性</w:t>
            </w:r>
          </w:p>
        </w:tc>
        <w:tc>
          <w:tcPr>
            <w:tcW w:w="3969" w:type="dxa"/>
            <w:tcBorders>
              <w:top w:val="nil"/>
              <w:left w:val="nil"/>
              <w:bottom w:val="single" w:color="000000" w:sz="12" w:space="0"/>
              <w:right w:val="nil"/>
            </w:tcBorders>
            <w:tcMar>
              <w:top w:w="80" w:type="dxa"/>
              <w:left w:w="90" w:type="dxa"/>
              <w:bottom w:w="80" w:type="dxa"/>
              <w:right w:w="90" w:type="dxa"/>
            </w:tcMar>
            <w:vAlign w:val="center"/>
          </w:tcPr>
          <w:p w14:paraId="42E4BD05">
            <w:pPr>
              <w:spacing w:after="0" w:line="240" w:lineRule="auto"/>
              <w:rPr>
                <w:lang w:eastAsia="zh-CN"/>
              </w:rPr>
            </w:pPr>
            <w:r>
              <w:rPr>
                <w:color w:val="000000"/>
                <w:sz w:val="21"/>
                <w:lang w:eastAsia="zh-CN"/>
              </w:rPr>
              <w:t>小水电资源型、山区绿色能源型、部分工业园区型县域的复合样本</w:t>
            </w:r>
          </w:p>
        </w:tc>
        <w:tc>
          <w:tcPr>
            <w:tcW w:w="2835" w:type="dxa"/>
            <w:tcBorders>
              <w:top w:val="nil"/>
              <w:left w:val="nil"/>
              <w:bottom w:val="single" w:color="000000" w:sz="12" w:space="0"/>
              <w:right w:val="nil"/>
            </w:tcBorders>
            <w:tcMar>
              <w:top w:w="80" w:type="dxa"/>
              <w:left w:w="90" w:type="dxa"/>
              <w:bottom w:w="80" w:type="dxa"/>
              <w:right w:w="90" w:type="dxa"/>
            </w:tcMar>
            <w:vAlign w:val="center"/>
          </w:tcPr>
          <w:p w14:paraId="5C3430D2">
            <w:pPr>
              <w:spacing w:after="0" w:line="240" w:lineRule="auto"/>
              <w:rPr>
                <w:lang w:eastAsia="zh-CN"/>
              </w:rPr>
            </w:pPr>
            <w:r>
              <w:rPr>
                <w:color w:val="000000"/>
                <w:sz w:val="21"/>
                <w:lang w:eastAsia="zh-CN"/>
              </w:rPr>
              <w:t>不代表所有县域平均状态，外推需分类适配</w:t>
            </w:r>
          </w:p>
        </w:tc>
      </w:tr>
    </w:tbl>
    <w:p w14:paraId="4DF478CD">
      <w:pPr>
        <w:spacing w:after="0" w:line="360" w:lineRule="auto"/>
        <w:ind w:firstLine="480" w:firstLineChars="200"/>
        <w:jc w:val="both"/>
        <w:rPr>
          <w:rFonts w:eastAsia="黑体"/>
          <w:b/>
          <w:sz w:val="32"/>
          <w:lang w:eastAsia="zh-CN"/>
        </w:rPr>
      </w:pPr>
      <w:r>
        <w:rPr>
          <w:color w:val="000000"/>
          <w:lang w:eastAsia="zh-CN"/>
        </w:rPr>
        <w:t>由表1-9可见，闽清县的价值主要体现在典型场景验证，而不是作为全国县域的唯一代表。通过该场景，可以进一步检验县域算电协同边缘算力在具体资源条件、应用任务和组织实施条件下的适配性，并为后续源网荷储算碳协同优化模型、AI原型验证和产业培育路径设计提供支撑。</w:t>
      </w:r>
    </w:p>
    <w:p w14:paraId="36CB38A0">
      <w:pPr>
        <w:keepNext/>
        <w:spacing w:before="160" w:after="120" w:line="288" w:lineRule="auto"/>
        <w:rPr>
          <w:lang w:eastAsia="zh-CN"/>
        </w:rPr>
      </w:pPr>
      <w:r>
        <w:rPr>
          <w:rFonts w:eastAsia="黑体"/>
          <w:b/>
          <w:color w:val="000000"/>
          <w:sz w:val="30"/>
          <w:lang w:eastAsia="zh-CN"/>
        </w:rPr>
        <w:t>1.9 本章小结</w:t>
      </w:r>
    </w:p>
    <w:p w14:paraId="2D481809">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t>本章围绕能源领域未来产业潜在方向研判，系统分析了县域算电协同边缘算力产业的概念内涵、运行机制、县域发展基础、适配条件、SWOT特征、赛道比较以及典型验证场景定位。通过对“电随算走”与“算随电走”两种模式的对比可知，县域算电协同边缘算力的核心并非单纯建设边缘算力节点，而是将分布式绿电出力、算力任务调度、储能协同和低碳AI服务纳入统一的县域能源与产业协同框架[4][9][10][11]。</w:t>
      </w:r>
    </w:p>
    <w:p w14:paraId="41CED6CE">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t>综合分析表明，该方向具备政策契合度、县域适配性和前瞻发展价值。县域分布式绿电资源、轻量化AI应用需求和产业数字化转型压力，为边缘算力节点的布局提供了现实基础；“算随电走”机制使部分可迁移、可延迟和可弹性调度的算力任务具备参与绿电消纳和需求侧响应的潜力，有助于推动县域绿色算力供给、低碳AI服务和新型能源系统协同发展。通过五类能源未来产业方向的七维评价比较，县域算电协同边缘算力在县域适配性和可验证性方面表现突出，综合评分与新型储能并列首位，被确定为本作品重点研判方向。其发展遵循“试点验证—多点复制—生态成型”的三阶段路径，闽清县作为典型验证场景可用于后续模型参数替换和AI原型验证[4][8][9][10]。</w:t>
      </w:r>
    </w:p>
    <w:p w14:paraId="371365E4">
      <w:pPr>
        <w:pStyle w:val="30"/>
        <w:shd w:val="clear" w:color="auto" w:fill="FFFFFF"/>
        <w:spacing w:beforeAutospacing="0" w:afterAutospacing="0" w:line="360" w:lineRule="auto"/>
        <w:ind w:firstLine="480" w:firstLineChars="200"/>
        <w:jc w:val="both"/>
        <w:rPr>
          <w:rFonts w:hint="eastAsia" w:ascii="宋体" w:hAnsi="宋体" w:cs="宋体"/>
          <w:color w:val="0F1115"/>
          <w:szCs w:val="24"/>
        </w:rPr>
      </w:pPr>
      <w:r>
        <w:rPr>
          <w:rFonts w:hint="eastAsia" w:cs="宋体"/>
          <w:color w:val="000000"/>
          <w:szCs w:val="24"/>
          <w:shd w:val="clear" w:color="auto" w:fill="FFFFFF"/>
        </w:rPr>
        <w:t>需要指出的是，本章结论属于方向研判层面的综合判断。县域算电协同边缘算力能否在绿电消纳率、弃电率、系统运行成本、碳排放量、单位算力碳排放和任务完成率等指标上形成可量化优势，仍需在后续章节中通过关键技术识别、技术成熟度评价及源网荷储算碳协同优化模型进行进一步验证。后续章节将围绕关键技术体系、模型构建、三场景仿真和典型县域参数替换展开，为该未来产业方向的科学性和可行性提供定量支撑。</w:t>
      </w:r>
    </w:p>
    <w:p w14:paraId="7E38B97C">
      <w:pPr>
        <w:spacing w:after="80" w:line="360" w:lineRule="auto"/>
        <w:rPr>
          <w:rFonts w:ascii="Segoe UI" w:hAnsi="Segoe UI" w:eastAsia="Segoe UI" w:cs="Segoe UI"/>
          <w:color w:val="0F1115"/>
          <w:sz w:val="19"/>
          <w:szCs w:val="19"/>
          <w:shd w:val="clear" w:color="auto" w:fill="FFFFFF"/>
          <w:lang w:eastAsia="zh-CN"/>
        </w:rPr>
      </w:pPr>
    </w:p>
    <w:p w14:paraId="6130CC32">
      <w:pPr>
        <w:keepNext/>
        <w:spacing w:before="240" w:after="120" w:line="288" w:lineRule="auto"/>
        <w:jc w:val="center"/>
        <w:rPr>
          <w:lang w:eastAsia="zh-CN"/>
        </w:rPr>
      </w:pPr>
      <w:r>
        <w:rPr>
          <w:rFonts w:eastAsia="黑体"/>
          <w:b/>
          <w:color w:val="000000"/>
          <w:sz w:val="32"/>
          <w:lang w:eastAsia="zh-CN"/>
        </w:rPr>
        <w:t>参考文献</w:t>
      </w:r>
    </w:p>
    <w:p w14:paraId="281687A3">
      <w:pPr>
        <w:spacing w:after="60" w:line="240" w:lineRule="auto"/>
        <w:ind w:left="420" w:hanging="420"/>
        <w:rPr>
          <w:lang w:eastAsia="zh-CN"/>
        </w:rPr>
      </w:pPr>
      <w:r>
        <w:rPr>
          <w:color w:val="000000"/>
          <w:sz w:val="21"/>
          <w:lang w:eastAsia="zh-CN"/>
        </w:rPr>
        <w:t>[1] 习近平. 前瞻布局和发展未来产业[EB/OL]. 中华人民共和国教育部政府门户网站, 2026-06-01[2026-07-24]. https://www.moe.gov.cn/jyb_xwfb/moe_176/202606/t20260601_1438418.html.</w:t>
      </w:r>
    </w:p>
    <w:p w14:paraId="035E3A28">
      <w:pPr>
        <w:spacing w:after="60" w:line="240" w:lineRule="auto"/>
        <w:ind w:left="420" w:hanging="420"/>
        <w:rPr>
          <w:lang w:eastAsia="zh-CN"/>
        </w:rPr>
      </w:pPr>
      <w:r>
        <w:rPr>
          <w:color w:val="000000"/>
          <w:sz w:val="21"/>
          <w:lang w:eastAsia="zh-CN"/>
        </w:rPr>
        <w:t>[2] 国务院. 政府工作报告[R]. 2026-03-05[2026-07-24]. https://www.moe.gov.cn/jyb_xwfb/moe_1946/2026/202603/t20260305_1430052.html.</w:t>
      </w:r>
    </w:p>
    <w:p w14:paraId="50E9BE03">
      <w:pPr>
        <w:spacing w:after="60" w:line="240" w:lineRule="auto"/>
        <w:ind w:left="420" w:hanging="420"/>
        <w:rPr>
          <w:lang w:eastAsia="zh-CN"/>
        </w:rPr>
      </w:pPr>
      <w:r>
        <w:rPr>
          <w:color w:val="000000"/>
          <w:sz w:val="21"/>
          <w:lang w:eastAsia="zh-CN"/>
        </w:rPr>
        <w:t>[3] 中华人民共和国国务院. 中华人民共和国国民经济和社会发展第十五个五年规划纲要[R]. 2026-03-14[2026-07-24]. https://www.moe.gov.cn/jyb_xwfb/xw_zt/moe_357/2026/2026_zt03/yw/202603/t20260314_1430877.html.</w:t>
      </w:r>
    </w:p>
    <w:p w14:paraId="322B5CBF">
      <w:pPr>
        <w:spacing w:after="60" w:line="240" w:lineRule="auto"/>
        <w:ind w:left="420" w:hanging="420"/>
        <w:rPr>
          <w:lang w:eastAsia="zh-CN"/>
        </w:rPr>
      </w:pPr>
      <w:r>
        <w:rPr>
          <w:color w:val="000000"/>
          <w:sz w:val="21"/>
          <w:lang w:eastAsia="zh-CN"/>
        </w:rPr>
        <w:t>[4] 国家发展改革委, 国家能源局, 工业和信息化部, 国家数据局. 关于促进人工智能与能源双向赋能的行动方案[R]. 国能发科技〔2026〕34号, 2026-04-08[2026-07-24]. https://www.nea.gov.cn/20260508/4dae97ca01d348e4871bb8654be34b3a/c.html.</w:t>
      </w:r>
    </w:p>
    <w:p w14:paraId="4491D531">
      <w:pPr>
        <w:spacing w:after="60" w:line="240" w:lineRule="auto"/>
        <w:ind w:left="420" w:hanging="420"/>
        <w:rPr>
          <w:lang w:eastAsia="zh-CN"/>
        </w:rPr>
      </w:pPr>
      <w:r>
        <w:rPr>
          <w:color w:val="000000"/>
          <w:sz w:val="21"/>
          <w:lang w:eastAsia="zh-CN"/>
        </w:rPr>
        <w:t>[5] 国家发展改革委, 国家能源局. 新型能源体系建设“十五五”规划[R]. 发改能源〔2026〕884号, 2026-06-13[2026-07-24]. https://www.nea.gov.cn/20260625/0ccfdc1674e84868b49480edf584eb5f/c.html.</w:t>
      </w:r>
    </w:p>
    <w:p w14:paraId="29AC8F6B">
      <w:pPr>
        <w:spacing w:after="60" w:line="240" w:lineRule="auto"/>
        <w:ind w:left="420" w:hanging="420"/>
        <w:rPr>
          <w:lang w:eastAsia="zh-CN"/>
        </w:rPr>
      </w:pPr>
      <w:r>
        <w:rPr>
          <w:color w:val="000000"/>
          <w:sz w:val="21"/>
          <w:lang w:eastAsia="zh-CN"/>
        </w:rPr>
        <w:t>[6] 刘烈宏. 深化数据赋能人工智能发展, 加快培育智能经济新形态</w:t>
      </w:r>
      <w:bookmarkStart w:id="0" w:name="_GoBack"/>
      <w:bookmarkEnd w:id="0"/>
      <w:r>
        <w:rPr>
          <w:color w:val="000000"/>
          <w:sz w:val="21"/>
          <w:lang w:eastAsia="zh-CN"/>
        </w:rPr>
        <w:t>——在中国发展高层论坛2026年年会上的演讲[EB/OL]. 中国发展高层论坛, 2026-03-24[2026-07-24]. https://dsjfzj.gxzf.gov.cn/dtyw/t27390771.shtml.</w:t>
      </w:r>
    </w:p>
    <w:p w14:paraId="5C06D4CF">
      <w:pPr>
        <w:spacing w:after="60" w:line="240" w:lineRule="auto"/>
        <w:ind w:left="420" w:hanging="420"/>
        <w:rPr>
          <w:lang w:eastAsia="zh-CN"/>
        </w:rPr>
      </w:pPr>
      <w:r>
        <w:rPr>
          <w:color w:val="000000"/>
          <w:sz w:val="21"/>
          <w:lang w:eastAsia="zh-CN"/>
        </w:rPr>
        <w:t>[7] 国家发展改革委等部门. 关于深入实施“东数西算”工程加快构建全国一体化算力网的实施意见[R]. 发改数据〔2023〕1779号, 2023-12-29.</w:t>
      </w:r>
    </w:p>
    <w:p w14:paraId="0D1EFA58">
      <w:pPr>
        <w:spacing w:after="60" w:line="240" w:lineRule="auto"/>
        <w:ind w:left="420" w:hanging="420"/>
        <w:rPr>
          <w:lang w:eastAsia="zh-CN"/>
        </w:rPr>
      </w:pPr>
      <w:r>
        <w:rPr>
          <w:color w:val="000000"/>
          <w:sz w:val="21"/>
          <w:lang w:eastAsia="zh-CN"/>
        </w:rPr>
        <w:t>[8] 国家发展改革委, 国家能源局, 国家数据局. 加快构建新型电力系统行动方案（2024—2027年）[R]. 发改能源〔2024〕1128号, 2024-07-25.</w:t>
      </w:r>
    </w:p>
    <w:p w14:paraId="7876C015">
      <w:pPr>
        <w:spacing w:after="60" w:line="240" w:lineRule="auto"/>
        <w:ind w:left="420" w:hanging="420"/>
      </w:pPr>
      <w:r>
        <w:rPr>
          <w:color w:val="000000"/>
          <w:sz w:val="21"/>
        </w:rPr>
        <w:t>[9] Shi W, Cao J, Zhang Q, Li Y, Xu L. Edge Computing: Vision and Challenges[J]. IEEE Internet of Things Journal, 2016, 3(5): 637-646.</w:t>
      </w:r>
    </w:p>
    <w:p w14:paraId="7EB3D5B8">
      <w:pPr>
        <w:spacing w:after="60" w:line="240" w:lineRule="auto"/>
        <w:ind w:left="420" w:hanging="420"/>
      </w:pPr>
      <w:r>
        <w:rPr>
          <w:color w:val="000000"/>
          <w:sz w:val="21"/>
        </w:rPr>
        <w:t>[10] Mao Y, You C, Zhang J, Huang K, Letaief K B. A Survey on Mobile Edge Computing: The Communication Perspective[J]. IEEE Communications Surveys &amp; Tutorials, 2017, 19(4): 2322-2358.</w:t>
      </w:r>
    </w:p>
    <w:p w14:paraId="541AE9DB">
      <w:pPr>
        <w:spacing w:after="60" w:line="240" w:lineRule="auto"/>
        <w:ind w:left="420" w:hanging="420"/>
      </w:pPr>
      <w:r>
        <w:rPr>
          <w:color w:val="000000"/>
          <w:sz w:val="21"/>
        </w:rPr>
        <w:t>[11] 国务院. 关于深入实施“人工智能+”行动的意见[R]. 国发〔2025〕11号, 2025-08-21.</w:t>
      </w:r>
    </w:p>
    <w:p w14:paraId="278A53B2">
      <w:pPr>
        <w:spacing w:after="60" w:line="240" w:lineRule="auto"/>
        <w:ind w:left="420" w:hanging="420"/>
      </w:pPr>
      <w:r>
        <w:rPr>
          <w:color w:val="000000"/>
          <w:sz w:val="21"/>
        </w:rPr>
        <w:t>[12] 全国人民代表大会常务委员会. 中华人民共和国数据安全法[R]. 2021-06-10.</w:t>
      </w:r>
    </w:p>
    <w:p w14:paraId="00B9A50A">
      <w:r>
        <w:t>[13] 国家发展改革委，工业和信息化部，国家能源局，国家数据局. 数据中心绿色低碳发展专项行动计划[R/OL]. 2024-07-23[2026-07-27]. https://www.ndrc.gov.cn/xwdt/tzgg/202407/P020240723625616053849.pdf.</w:t>
      </w:r>
    </w:p>
    <w:p w14:paraId="6CFD2E26">
      <w:pPr>
        <w:rPr>
          <w:lang w:eastAsia="zh-CN"/>
        </w:rPr>
      </w:pPr>
      <w:r>
        <w:rPr>
          <w:lang w:eastAsia="zh-CN"/>
        </w:rPr>
        <w:t>[14] 人民日报. 在促进城乡融合中推进县域经济高质量发展[N/OL]. 2024-10-08[2026-07-27]. https://paper.people.com.cn/rmlt/pc/content/202410/08/content_30029988.html.</w:t>
      </w:r>
    </w:p>
    <w:p w14:paraId="47E04684">
      <w:pPr>
        <w:rPr>
          <w:lang w:eastAsia="zh-CN"/>
        </w:rPr>
      </w:pPr>
      <w:r>
        <w:rPr>
          <w:lang w:eastAsia="zh-CN"/>
        </w:rPr>
        <w:t>[15] 国家能源局. 能见度丨分布式能源迎来发展良机[EB/OL]. 2024-03-15[2026-07-27]. https://www.nea.gov.cn/2024-03/15/c_1310767760.htm.</w:t>
      </w:r>
    </w:p>
    <w:p w14:paraId="01FE0BC0">
      <w:pPr>
        <w:rPr>
          <w:lang w:eastAsia="zh-CN"/>
        </w:rPr>
      </w:pPr>
      <w:r>
        <w:rPr>
          <w:lang w:eastAsia="zh-CN"/>
        </w:rPr>
        <w:t>[16] 国家能源局. 《分布式光伏发电开发建设管理办法》问答（2025年版）[EB/OL]. 2025-04-11[2026-07-27]. https://www.nea.gov.cn/20250411/dca28f9186e848dda1d690d192fa50f8/20250411dca28f9186e848dda1d690d192fa50f8_113000de00999043e8a7fe4446dd6d97d8.pdf.</w:t>
      </w:r>
    </w:p>
    <w:p w14:paraId="0A157768">
      <w:pPr>
        <w:rPr>
          <w:lang w:eastAsia="zh-CN"/>
        </w:rPr>
      </w:pPr>
      <w:r>
        <w:rPr>
          <w:lang w:eastAsia="zh-CN"/>
        </w:rPr>
        <w:t>[17] 中国新闻网. 海北海晏逐“绿”而行 清洁能源产业跑出“加速度”[N/OL]. 2026-07-03[2026-07-27]. https://www.qh.chinanews.com.cn/qhgd/news/2026/0703/145541.html.</w:t>
      </w:r>
    </w:p>
    <w:p w14:paraId="74927C2A">
      <w:pPr>
        <w:rPr>
          <w:lang w:eastAsia="zh-CN"/>
        </w:rPr>
      </w:pPr>
      <w:r>
        <w:rPr>
          <w:lang w:eastAsia="zh-CN"/>
        </w:rPr>
        <w:t>[18] 同花顺财经. 浮山县打造“绿电名片”：可再生能源消费占比超38%，能源结构转型成效显著[N/OL]. 2026-01-27[2026-07-27]. https://news.10jqka.com.cn/20260127/c674335229.shtml.</w:t>
      </w:r>
    </w:p>
    <w:sectPr>
      <w:footerReference r:id="rId5" w:type="default"/>
      <w:pgSz w:w="11906" w:h="16838"/>
      <w:pgMar w:top="1417" w:right="141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8ABE7">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9503C"/>
    <w:rsid w:val="0029639D"/>
    <w:rsid w:val="00326F90"/>
    <w:rsid w:val="003562F1"/>
    <w:rsid w:val="003728F6"/>
    <w:rsid w:val="00397ABA"/>
    <w:rsid w:val="004D6136"/>
    <w:rsid w:val="00631C9E"/>
    <w:rsid w:val="00A30B59"/>
    <w:rsid w:val="00A443C0"/>
    <w:rsid w:val="00A90413"/>
    <w:rsid w:val="00AA1D8D"/>
    <w:rsid w:val="00AF339E"/>
    <w:rsid w:val="00B24B5F"/>
    <w:rsid w:val="00B47730"/>
    <w:rsid w:val="00CB0664"/>
    <w:rsid w:val="00D12DC4"/>
    <w:rsid w:val="00E26EC7"/>
    <w:rsid w:val="00FC693F"/>
    <w:rsid w:val="016B2552"/>
    <w:rsid w:val="022031B4"/>
    <w:rsid w:val="085801BC"/>
    <w:rsid w:val="0C59336C"/>
    <w:rsid w:val="10365408"/>
    <w:rsid w:val="195C1F33"/>
    <w:rsid w:val="1B1C3CC2"/>
    <w:rsid w:val="25EE4993"/>
    <w:rsid w:val="293D0555"/>
    <w:rsid w:val="334B236A"/>
    <w:rsid w:val="34367954"/>
    <w:rsid w:val="350E3B42"/>
    <w:rsid w:val="3F593C0C"/>
    <w:rsid w:val="48A7272D"/>
    <w:rsid w:val="4C3D715E"/>
    <w:rsid w:val="4DBF1A26"/>
    <w:rsid w:val="4F697E9B"/>
    <w:rsid w:val="519645EC"/>
    <w:rsid w:val="53DD0E57"/>
    <w:rsid w:val="55C97718"/>
    <w:rsid w:val="590053BD"/>
    <w:rsid w:val="630F7DF9"/>
    <w:rsid w:val="676F7BC1"/>
    <w:rsid w:val="68C63810"/>
    <w:rsid w:val="77495D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Autospacing="1" w:after="0" w:afterAutospacing="1"/>
    </w:pPr>
    <w:rPr>
      <w:rFonts w:cs="Times New Roman"/>
      <w:lang w:eastAsia="zh-CN"/>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页眉 字符"/>
    <w:basedOn w:val="133"/>
    <w:link w:val="25"/>
    <w:qFormat/>
    <w:uiPriority w:val="99"/>
  </w:style>
  <w:style w:type="character" w:customStyle="1" w:styleId="137">
    <w:name w:val="页脚 字符"/>
    <w:basedOn w:val="133"/>
    <w:link w:val="24"/>
    <w:qFormat/>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33"/>
    <w:link w:val="19"/>
    <w:qFormat/>
    <w:uiPriority w:val="99"/>
  </w:style>
  <w:style w:type="character" w:customStyle="1" w:styleId="146">
    <w:name w:val="正文文本 2 字符"/>
    <w:basedOn w:val="133"/>
    <w:link w:val="28"/>
    <w:qFormat/>
    <w:uiPriority w:val="99"/>
  </w:style>
  <w:style w:type="character" w:customStyle="1" w:styleId="147">
    <w:name w:val="正文文本 3 字符"/>
    <w:basedOn w:val="133"/>
    <w:link w:val="17"/>
    <w:qFormat/>
    <w:uiPriority w:val="99"/>
    <w:rPr>
      <w:sz w:val="16"/>
      <w:szCs w:val="16"/>
    </w:rPr>
  </w:style>
  <w:style w:type="character" w:customStyle="1" w:styleId="148">
    <w:name w:val="宏文本 字符"/>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引用 字符"/>
    <w:basedOn w:val="133"/>
    <w:link w:val="149"/>
    <w:qFormat/>
    <w:uiPriority w:val="29"/>
    <w:rPr>
      <w:i/>
      <w:iCs/>
      <w:color w:val="000000" w:themeColor="text1"/>
      <w14:textFill>
        <w14:solidFill>
          <w14:schemeClr w14:val="tx1"/>
        </w14:solidFill>
      </w14:textFill>
    </w:rPr>
  </w:style>
  <w:style w:type="character" w:customStyle="1" w:styleId="151">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标题 6 字符"/>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33"/>
    <w:link w:val="157"/>
    <w:qFormat/>
    <w:uiPriority w:val="30"/>
    <w:rPr>
      <w:b/>
      <w:bCs/>
      <w:i/>
      <w:iCs/>
      <w:color w:val="4F81BD" w:themeColor="accent1"/>
      <w14:textFill>
        <w14:solidFill>
          <w14:schemeClr w14:val="accent1"/>
        </w14:solidFill>
      </w14:textFill>
    </w:rPr>
  </w:style>
  <w:style w:type="character" w:customStyle="1" w:styleId="159">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明显强调1"/>
    <w:basedOn w:val="133"/>
    <w:qFormat/>
    <w:uiPriority w:val="21"/>
    <w:rPr>
      <w:b/>
      <w:bCs/>
      <w:i/>
      <w:iCs/>
      <w:color w:val="4F81BD" w:themeColor="accent1"/>
      <w14:textFill>
        <w14:solidFill>
          <w14:schemeClr w14:val="accent1"/>
        </w14:solidFill>
      </w14:textFill>
    </w:rPr>
  </w:style>
  <w:style w:type="character" w:customStyle="1" w:styleId="161">
    <w:name w:val="不明显参考1"/>
    <w:basedOn w:val="133"/>
    <w:qFormat/>
    <w:uiPriority w:val="31"/>
    <w:rPr>
      <w:smallCaps/>
      <w:color w:val="C0504D" w:themeColor="accent2"/>
      <w:u w:val="single"/>
      <w14:textFill>
        <w14:solidFill>
          <w14:schemeClr w14:val="accent2"/>
        </w14:solidFill>
      </w14:textFill>
    </w:rPr>
  </w:style>
  <w:style w:type="character" w:customStyle="1" w:styleId="162">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书籍标题1"/>
    <w:basedOn w:val="133"/>
    <w:qFormat/>
    <w:uiPriority w:val="33"/>
    <w:rPr>
      <w:b/>
      <w:bCs/>
      <w:smallCaps/>
      <w:spacing w:val="5"/>
    </w:rPr>
  </w:style>
  <w:style w:type="paragraph" w:customStyle="1" w:styleId="164">
    <w:name w:val="TOC 标题1"/>
    <w:basedOn w:val="3"/>
    <w:next w:val="1"/>
    <w:semiHidden/>
    <w:unhideWhenUsed/>
    <w:qFormat/>
    <w:uiPriority w:val="39"/>
    <w:pPr>
      <w:outlineLvl w:val="9"/>
    </w:pPr>
  </w:style>
  <w:style w:type="paragraph" w:customStyle="1" w:styleId="165">
    <w:name w:val="表格文字"/>
    <w:basedOn w:val="1"/>
    <w:qFormat/>
    <w:uiPriority w:val="0"/>
    <w:pPr>
      <w:spacing w:after="0" w:line="360" w:lineRule="atLeast"/>
      <w:jc w:val="center"/>
    </w:pPr>
    <w:rPr>
      <w:rFonts w:cs="Times New Roman"/>
      <w:color w:val="00000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13437</Words>
  <Characters>13967</Characters>
  <Lines>125</Lines>
  <Paragraphs>35</Paragraphs>
  <TotalTime>38</TotalTime>
  <ScaleCrop>false</ScaleCrop>
  <LinksUpToDate>false</LinksUpToDate>
  <CharactersWithSpaces>14002</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2026-07-27T03:59:00Z</dcterms:created>
  <dc:creator>python-docx</dc:creator>
  <dc:description>generated by python-docx</dc:description>
  <cp:lastModifiedBy>嘎嘣脆团子</cp:lastModifiedBy>
  <dcterms:modified xsi:type="dcterms:W3CDTF">2026-07-27T10:50:37Z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eyJoZGlkIjoiODkwMjkyNDkzZjYxYzU3NjBhODVjODJmNjNhODkxOWQiLCJ1c2VySWQiOiI3ODg1OTA2MDYifQ==</vt:lpwstr>
  </property>
  <property fmtid="{D5CDD505-2E9C-101B-9397-08002B2CF9AE}" pid="3" name="KSOProductBuildVer">
    <vt:lpwstr>2052-12.1.0.26884</vt:lpwstr>
  </property>
  <property fmtid="{D5CDD505-2E9C-101B-9397-08002B2CF9AE}" pid="4" name="ICV">
    <vt:lpwstr>C003B68E2FA1439A82EC8EE3D58BBE31_13</vt:lpwstr>
  </property>
</Properties>
</file>