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16AB98">
      <w:pPr>
        <w:pStyle w:val="2"/>
        <w:widowControl/>
        <w:spacing w:beforeAutospacing="0" w:afterAutospacing="0"/>
        <w:rPr>
          <w:rFonts w:ascii="仿宋" w:hAnsi="仿宋" w:eastAsia="仿宋" w:cs="仿宋"/>
          <w:sz w:val="36"/>
          <w:szCs w:val="36"/>
        </w:rPr>
      </w:pPr>
      <w:bookmarkStart w:id="0" w:name="_GoBack"/>
      <w:bookmarkEnd w:id="0"/>
      <w:r>
        <w:rPr>
          <w:rFonts w:ascii="仿宋" w:hAnsi="仿宋" w:eastAsia="仿宋" w:cs="仿宋"/>
          <w:sz w:val="36"/>
          <w:szCs w:val="36"/>
        </w:rPr>
        <w:t>挑战杯作品任务完成时间对照表</w:t>
      </w:r>
    </w:p>
    <w:p w14:paraId="3D8CF340">
      <w:pPr>
        <w:pStyle w:val="5"/>
        <w:widowControl/>
        <w:spacing w:beforeAutospacing="0" w:afterAutospacing="0"/>
        <w:rPr>
          <w:rFonts w:hint="eastAsia" w:ascii="仿宋" w:hAnsi="仿宋" w:eastAsia="仿宋" w:cs="仿宋"/>
        </w:rPr>
      </w:pPr>
      <w:r>
        <w:rPr>
          <w:rStyle w:val="9"/>
          <w:rFonts w:hint="eastAsia" w:ascii="仿宋" w:hAnsi="仿宋" w:eastAsia="仿宋" w:cs="仿宋"/>
        </w:rPr>
        <w:t>作品名称：</w:t>
      </w:r>
      <w:r>
        <w:rPr>
          <w:rFonts w:hint="eastAsia" w:ascii="仿宋" w:hAnsi="仿宋" w:eastAsia="仿宋" w:cs="仿宋"/>
        </w:rPr>
        <w:t>算随电走，绿动县域：面向未来能源的算电协同边缘算力产业生态构建与培育路径研究</w:t>
      </w:r>
      <w:r>
        <w:rPr>
          <w:rFonts w:hint="eastAsia" w:ascii="仿宋" w:hAnsi="仿宋" w:eastAsia="仿宋" w:cs="仿宋"/>
        </w:rPr>
        <w:br w:type="textWrapping"/>
      </w:r>
      <w:r>
        <w:rPr>
          <w:rStyle w:val="9"/>
          <w:rFonts w:hint="eastAsia" w:ascii="仿宋" w:hAnsi="仿宋" w:eastAsia="仿宋" w:cs="仿宋"/>
        </w:rPr>
        <w:t>最终提交时间：</w:t>
      </w:r>
      <w:r>
        <w:rPr>
          <w:rFonts w:hint="eastAsia" w:ascii="仿宋" w:hAnsi="仿宋" w:eastAsia="仿宋" w:cs="仿宋"/>
        </w:rPr>
        <w:t>2026 年 8 月 20 日前</w:t>
      </w:r>
      <w:r>
        <w:rPr>
          <w:rFonts w:hint="eastAsia" w:ascii="仿宋" w:hAnsi="仿宋" w:eastAsia="仿宋" w:cs="仿宋"/>
        </w:rPr>
        <w:br w:type="textWrapping"/>
      </w:r>
      <w:r>
        <w:rPr>
          <w:rStyle w:val="9"/>
          <w:rFonts w:hint="eastAsia" w:ascii="仿宋" w:hAnsi="仿宋" w:eastAsia="仿宋" w:cs="仿宋"/>
        </w:rPr>
        <w:t>执行方式：</w:t>
      </w:r>
      <w:r>
        <w:rPr>
          <w:rFonts w:hint="eastAsia" w:ascii="仿宋" w:hAnsi="仿宋" w:eastAsia="仿宋" w:cs="仿宋"/>
        </w:rPr>
        <w:t>全体成员按阶段推进。每一阶段先开会明确任务分工，各成员同步完成子任务，随后由指定成员整合为章节初稿，再进行会议讨论、集中修改，并进入下一阶段分工。整体研究内容依据作品分工方案中“未来产业方向研判—关键技术识别与模型仿真—闽清县验证与培育路径—总报告整合”的结构推进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6"/>
        <w:gridCol w:w="1486"/>
        <w:gridCol w:w="1191"/>
        <w:gridCol w:w="1274"/>
        <w:gridCol w:w="1275"/>
        <w:gridCol w:w="1122"/>
        <w:gridCol w:w="1088"/>
      </w:tblGrid>
      <w:tr w14:paraId="67718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373641F4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阶段</w:t>
            </w:r>
          </w:p>
        </w:tc>
        <w:tc>
          <w:tcPr>
            <w:tcW w:w="1217" w:type="dxa"/>
          </w:tcPr>
          <w:p w14:paraId="2F28A9DA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时间安排</w:t>
            </w:r>
          </w:p>
        </w:tc>
        <w:tc>
          <w:tcPr>
            <w:tcW w:w="1217" w:type="dxa"/>
          </w:tcPr>
          <w:p w14:paraId="16BCE13B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工作内容</w:t>
            </w:r>
          </w:p>
        </w:tc>
        <w:tc>
          <w:tcPr>
            <w:tcW w:w="1217" w:type="dxa"/>
          </w:tcPr>
          <w:p w14:paraId="77743C87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任务安排</w:t>
            </w:r>
          </w:p>
        </w:tc>
        <w:tc>
          <w:tcPr>
            <w:tcW w:w="1218" w:type="dxa"/>
          </w:tcPr>
          <w:p w14:paraId="1A342DD1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阶段交付物</w:t>
            </w:r>
          </w:p>
        </w:tc>
        <w:tc>
          <w:tcPr>
            <w:tcW w:w="1218" w:type="dxa"/>
          </w:tcPr>
          <w:p w14:paraId="7D9C4DA6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检查方式</w:t>
            </w:r>
          </w:p>
        </w:tc>
        <w:tc>
          <w:tcPr>
            <w:tcW w:w="1218" w:type="dxa"/>
          </w:tcPr>
          <w:p w14:paraId="3C36BE41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完成状态</w:t>
            </w:r>
          </w:p>
        </w:tc>
      </w:tr>
      <w:tr w14:paraId="321A2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F5C0E61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第一次会议与第一部分分工</w:t>
            </w:r>
          </w:p>
        </w:tc>
        <w:tc>
          <w:tcPr>
            <w:tcW w:w="1217" w:type="dxa"/>
          </w:tcPr>
          <w:p w14:paraId="14B53633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2026.07.06</w:t>
            </w:r>
          </w:p>
        </w:tc>
        <w:tc>
          <w:tcPr>
            <w:tcW w:w="1217" w:type="dxa"/>
          </w:tcPr>
          <w:p w14:paraId="4F57E72C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开会明确第一部分“未来产业潜在方向研判”任务</w:t>
            </w:r>
          </w:p>
        </w:tc>
        <w:tc>
          <w:tcPr>
            <w:tcW w:w="1217" w:type="dxa"/>
          </w:tcPr>
          <w:p w14:paraId="06221B22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明确各成员负责内容、交付形式和完成时间</w:t>
            </w:r>
          </w:p>
        </w:tc>
        <w:tc>
          <w:tcPr>
            <w:tcW w:w="1218" w:type="dxa"/>
          </w:tcPr>
          <w:p w14:paraId="71B74944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第一部分任务分工表</w:t>
            </w:r>
          </w:p>
        </w:tc>
        <w:tc>
          <w:tcPr>
            <w:tcW w:w="1218" w:type="dxa"/>
          </w:tcPr>
          <w:p w14:paraId="7DA6660D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会议确认</w:t>
            </w:r>
          </w:p>
        </w:tc>
        <w:tc>
          <w:tcPr>
            <w:tcW w:w="1218" w:type="dxa"/>
          </w:tcPr>
          <w:p w14:paraId="44EA5AF6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已完成</w:t>
            </w:r>
          </w:p>
        </w:tc>
      </w:tr>
      <w:tr w14:paraId="33ECF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499469A7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第一部分并行完成</w:t>
            </w:r>
          </w:p>
        </w:tc>
        <w:tc>
          <w:tcPr>
            <w:tcW w:w="1217" w:type="dxa"/>
          </w:tcPr>
          <w:p w14:paraId="775E4B9D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2026.07.06—</w:t>
            </w:r>
          </w:p>
          <w:p w14:paraId="51CBCA48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2026.07.12</w:t>
            </w:r>
          </w:p>
        </w:tc>
        <w:tc>
          <w:tcPr>
            <w:tcW w:w="1217" w:type="dxa"/>
          </w:tcPr>
          <w:p w14:paraId="34EA13A6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各成员同步完成“未来产业潜在方向研判”子任务</w:t>
            </w:r>
          </w:p>
        </w:tc>
        <w:tc>
          <w:tcPr>
            <w:tcW w:w="1217" w:type="dxa"/>
          </w:tcPr>
          <w:p w14:paraId="203556E6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何勇平：产业定义、SWOT 分析表；田展宏：“电随算走”与“算随电走”对比图、县域适配条件表；欧阳宇涵：未来产业方向对比表；叶以辰：县域发展基础分析文字、2026—2035 技术路线图；汤景淇：县域类型分类表、闽清县典型验证场景代表性分析</w:t>
            </w:r>
          </w:p>
        </w:tc>
        <w:tc>
          <w:tcPr>
            <w:tcW w:w="1218" w:type="dxa"/>
          </w:tcPr>
          <w:p w14:paraId="5B05DB50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各子任务文字、表格、图示材料</w:t>
            </w:r>
          </w:p>
        </w:tc>
        <w:tc>
          <w:tcPr>
            <w:tcW w:w="1218" w:type="dxa"/>
          </w:tcPr>
          <w:p w14:paraId="633D0BB9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队长收集并检查完整性</w:t>
            </w:r>
          </w:p>
        </w:tc>
        <w:tc>
          <w:tcPr>
            <w:tcW w:w="1218" w:type="dxa"/>
          </w:tcPr>
          <w:p w14:paraId="4B4D0FD1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进行中</w:t>
            </w:r>
          </w:p>
        </w:tc>
      </w:tr>
      <w:tr w14:paraId="1A87D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17" w:type="dxa"/>
          </w:tcPr>
          <w:p w14:paraId="2C69B1E7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第一部分章节整合</w:t>
            </w:r>
          </w:p>
        </w:tc>
        <w:tc>
          <w:tcPr>
            <w:tcW w:w="1217" w:type="dxa"/>
          </w:tcPr>
          <w:p w14:paraId="1ECB6A0E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2026.07.12—</w:t>
            </w:r>
          </w:p>
          <w:p w14:paraId="31ABA533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2026.07.14</w:t>
            </w:r>
          </w:p>
        </w:tc>
        <w:tc>
          <w:tcPr>
            <w:tcW w:w="1217" w:type="dxa"/>
          </w:tcPr>
          <w:p w14:paraId="7E542DB4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将第一部分各成员成果整合为报告章节初稿</w:t>
            </w:r>
          </w:p>
        </w:tc>
        <w:tc>
          <w:tcPr>
            <w:tcW w:w="1217" w:type="dxa"/>
          </w:tcPr>
          <w:p w14:paraId="54B5ACEB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罗有儒、黄新宸负责整合“潜在方向研判”章节初稿，其余成员配合修改补充</w:t>
            </w:r>
          </w:p>
        </w:tc>
        <w:tc>
          <w:tcPr>
            <w:tcW w:w="1218" w:type="dxa"/>
          </w:tcPr>
          <w:p w14:paraId="28E0CBF3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报告“潜在方向研判”</w:t>
            </w:r>
            <w:r>
              <w:rPr>
                <w:rFonts w:hint="eastAsia"/>
              </w:rPr>
              <w:t xml:space="preserve"> </w:t>
            </w:r>
            <w:r>
              <w:rPr>
                <w:rFonts w:ascii="仿宋" w:hAnsi="仿宋" w:eastAsia="仿宋" w:cs="仿宋"/>
                <w:b/>
                <w:bCs/>
                <w:szCs w:val="21"/>
              </w:rPr>
              <w:t>报告“潜在方向研判”</w:t>
            </w: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章节初稿</w:t>
            </w:r>
          </w:p>
        </w:tc>
        <w:tc>
          <w:tcPr>
            <w:tcW w:w="1218" w:type="dxa"/>
          </w:tcPr>
          <w:p w14:paraId="6ABF129F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检查逻辑衔接、图表编号、术语统一</w:t>
            </w:r>
          </w:p>
        </w:tc>
        <w:tc>
          <w:tcPr>
            <w:tcW w:w="1218" w:type="dxa"/>
          </w:tcPr>
          <w:p w14:paraId="526B1AFA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未开始</w:t>
            </w:r>
          </w:p>
        </w:tc>
      </w:tr>
      <w:tr w14:paraId="54C17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4B3843E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第一部分讨论与修改</w:t>
            </w:r>
          </w:p>
        </w:tc>
        <w:tc>
          <w:tcPr>
            <w:tcW w:w="1217" w:type="dxa"/>
          </w:tcPr>
          <w:p w14:paraId="62A048C1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2026.07.14—</w:t>
            </w:r>
          </w:p>
          <w:p w14:paraId="5AC8E5D2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2026.07.15</w:t>
            </w:r>
          </w:p>
        </w:tc>
        <w:tc>
          <w:tcPr>
            <w:tcW w:w="1217" w:type="dxa"/>
          </w:tcPr>
          <w:p w14:paraId="42534DAB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开会讨论第一部分问题并集中修改</w:t>
            </w:r>
          </w:p>
        </w:tc>
        <w:tc>
          <w:tcPr>
            <w:tcW w:w="1217" w:type="dxa"/>
          </w:tcPr>
          <w:p w14:paraId="71CF75A9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全体成员参与，队长汇总问题；各任务负责人修改对应内容</w:t>
            </w:r>
          </w:p>
        </w:tc>
        <w:tc>
          <w:tcPr>
            <w:tcW w:w="1218" w:type="dxa"/>
          </w:tcPr>
          <w:p w14:paraId="05C75C40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“潜在方向研判”章节修改稿</w:t>
            </w:r>
          </w:p>
        </w:tc>
        <w:tc>
          <w:tcPr>
            <w:tcW w:w="1218" w:type="dxa"/>
          </w:tcPr>
          <w:p w14:paraId="6D252FFF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会议讨论 + 修改记录</w:t>
            </w:r>
          </w:p>
        </w:tc>
        <w:tc>
          <w:tcPr>
            <w:tcW w:w="1218" w:type="dxa"/>
          </w:tcPr>
          <w:p w14:paraId="02F921C2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未开始</w:t>
            </w:r>
          </w:p>
        </w:tc>
      </w:tr>
      <w:tr w14:paraId="6BE35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040B333C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第二部分分工会议</w:t>
            </w:r>
          </w:p>
        </w:tc>
        <w:tc>
          <w:tcPr>
            <w:tcW w:w="1217" w:type="dxa"/>
          </w:tcPr>
          <w:p w14:paraId="2A132435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2026.07.15 左右</w:t>
            </w:r>
          </w:p>
        </w:tc>
        <w:tc>
          <w:tcPr>
            <w:tcW w:w="1217" w:type="dxa"/>
          </w:tcPr>
          <w:p w14:paraId="2E5571D2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开会确定第二部分“关键技术识别、评价与模型仿真”任务</w:t>
            </w:r>
          </w:p>
        </w:tc>
        <w:tc>
          <w:tcPr>
            <w:tcW w:w="1217" w:type="dxa"/>
          </w:tcPr>
          <w:p w14:paraId="04EF8C9D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根据第一部分完成情况重新分配任务</w:t>
            </w:r>
          </w:p>
        </w:tc>
        <w:tc>
          <w:tcPr>
            <w:tcW w:w="1218" w:type="dxa"/>
          </w:tcPr>
          <w:p w14:paraId="68EED055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第二部分任务分工表</w:t>
            </w:r>
          </w:p>
        </w:tc>
        <w:tc>
          <w:tcPr>
            <w:tcW w:w="1218" w:type="dxa"/>
          </w:tcPr>
          <w:p w14:paraId="75B3D515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ascii="仿宋" w:hAnsi="仿宋" w:eastAsia="仿宋" w:cs="仿宋"/>
                <w:b/>
                <w:bCs/>
                <w:szCs w:val="21"/>
              </w:rPr>
              <w:t>会议确认</w:t>
            </w:r>
          </w:p>
        </w:tc>
        <w:tc>
          <w:tcPr>
            <w:tcW w:w="1218" w:type="dxa"/>
          </w:tcPr>
          <w:p w14:paraId="463DC99C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未开始</w:t>
            </w:r>
          </w:p>
        </w:tc>
      </w:tr>
      <w:tr w14:paraId="0F259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31777C72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第二部分并行完成</w:t>
            </w:r>
          </w:p>
        </w:tc>
        <w:tc>
          <w:tcPr>
            <w:tcW w:w="1217" w:type="dxa"/>
          </w:tcPr>
          <w:p w14:paraId="7835B3F5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2026.07.15—</w:t>
            </w:r>
          </w:p>
          <w:p w14:paraId="76375019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2026.07.26</w:t>
            </w:r>
          </w:p>
        </w:tc>
        <w:tc>
          <w:tcPr>
            <w:tcW w:w="1217" w:type="dxa"/>
          </w:tcPr>
          <w:p w14:paraId="242FA004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完成关键技术体系、技术成熟度评价、源网荷储算碳模型与初步仿真设计</w:t>
            </w:r>
          </w:p>
        </w:tc>
        <w:tc>
          <w:tcPr>
            <w:tcW w:w="1217" w:type="dxa"/>
          </w:tcPr>
          <w:p w14:paraId="25A5F36A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具体分工待第二次会议确定</w:t>
            </w:r>
          </w:p>
        </w:tc>
        <w:tc>
          <w:tcPr>
            <w:tcW w:w="1218" w:type="dxa"/>
          </w:tcPr>
          <w:p w14:paraId="6375A8DA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关键技术体系、TRL/TOPSIS 评价、模型框架、仿真数据与假设说明</w:t>
            </w:r>
          </w:p>
        </w:tc>
        <w:tc>
          <w:tcPr>
            <w:tcW w:w="1218" w:type="dxa"/>
          </w:tcPr>
          <w:p w14:paraId="3FB9BBF3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阶段检查</w:t>
            </w:r>
          </w:p>
        </w:tc>
        <w:tc>
          <w:tcPr>
            <w:tcW w:w="1218" w:type="dxa"/>
          </w:tcPr>
          <w:p w14:paraId="13F437E9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未开始</w:t>
            </w:r>
          </w:p>
        </w:tc>
      </w:tr>
      <w:tr w14:paraId="3F412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2416A577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第二部分章节整合与修改</w:t>
            </w:r>
          </w:p>
        </w:tc>
        <w:tc>
          <w:tcPr>
            <w:tcW w:w="1217" w:type="dxa"/>
          </w:tcPr>
          <w:p w14:paraId="179FE3D7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2026.07.26—</w:t>
            </w:r>
          </w:p>
          <w:p w14:paraId="65D3C44A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2026.07.30</w:t>
            </w:r>
          </w:p>
        </w:tc>
        <w:tc>
          <w:tcPr>
            <w:tcW w:w="1217" w:type="dxa"/>
          </w:tcPr>
          <w:p w14:paraId="4B52EEB8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整合“关键技术识别与评估”“模型仿真验证”章节</w:t>
            </w:r>
          </w:p>
        </w:tc>
        <w:tc>
          <w:tcPr>
            <w:tcW w:w="1217" w:type="dxa"/>
          </w:tcPr>
          <w:p w14:paraId="097D4101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由第二次会议确定整合负责人，全体成员配合</w:t>
            </w:r>
          </w:p>
        </w:tc>
        <w:tc>
          <w:tcPr>
            <w:tcW w:w="1218" w:type="dxa"/>
          </w:tcPr>
          <w:p w14:paraId="3F1C12E7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ascii="仿宋" w:hAnsi="仿宋" w:eastAsia="仿宋" w:cs="仿宋"/>
                <w:b/>
                <w:bCs/>
                <w:szCs w:val="21"/>
              </w:rPr>
              <w:t>第三、四章初稿及修改稿</w:t>
            </w:r>
          </w:p>
        </w:tc>
        <w:tc>
          <w:tcPr>
            <w:tcW w:w="1218" w:type="dxa"/>
          </w:tcPr>
          <w:p w14:paraId="521E72B4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会议讨论+统一修改</w:t>
            </w:r>
          </w:p>
        </w:tc>
        <w:tc>
          <w:tcPr>
            <w:tcW w:w="1218" w:type="dxa"/>
          </w:tcPr>
          <w:p w14:paraId="76562B63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未开始</w:t>
            </w:r>
          </w:p>
        </w:tc>
      </w:tr>
      <w:tr w14:paraId="6427C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0B818F29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第三部分分工会议</w:t>
            </w:r>
          </w:p>
        </w:tc>
        <w:tc>
          <w:tcPr>
            <w:tcW w:w="1217" w:type="dxa"/>
          </w:tcPr>
          <w:p w14:paraId="35EA788A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2026.07.30 左右</w:t>
            </w:r>
          </w:p>
        </w:tc>
        <w:tc>
          <w:tcPr>
            <w:tcW w:w="1217" w:type="dxa"/>
          </w:tcPr>
          <w:p w14:paraId="26883A68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开会确定第三部分“闽清县验证与培育路径”任务</w:t>
            </w:r>
          </w:p>
        </w:tc>
        <w:tc>
          <w:tcPr>
            <w:tcW w:w="1217" w:type="dxa"/>
          </w:tcPr>
          <w:p w14:paraId="0A71E1B2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根据第二部分模型和数据结果重新分配任务</w:t>
            </w:r>
          </w:p>
        </w:tc>
        <w:tc>
          <w:tcPr>
            <w:tcW w:w="1218" w:type="dxa"/>
          </w:tcPr>
          <w:p w14:paraId="1C301B82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第三部分任务分工表</w:t>
            </w:r>
          </w:p>
        </w:tc>
        <w:tc>
          <w:tcPr>
            <w:tcW w:w="1218" w:type="dxa"/>
          </w:tcPr>
          <w:p w14:paraId="082B921A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会议确认</w:t>
            </w:r>
          </w:p>
        </w:tc>
        <w:tc>
          <w:tcPr>
            <w:tcW w:w="1218" w:type="dxa"/>
          </w:tcPr>
          <w:p w14:paraId="21D24DC5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未开始</w:t>
            </w:r>
          </w:p>
        </w:tc>
      </w:tr>
      <w:tr w14:paraId="12C64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2EA5110B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第三部分并行完成</w:t>
            </w:r>
          </w:p>
        </w:tc>
        <w:tc>
          <w:tcPr>
            <w:tcW w:w="1217" w:type="dxa"/>
          </w:tcPr>
          <w:p w14:paraId="7D657921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2026.07.30—</w:t>
            </w:r>
          </w:p>
          <w:p w14:paraId="4508F781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2026.08.08</w:t>
            </w:r>
          </w:p>
        </w:tc>
        <w:tc>
          <w:tcPr>
            <w:tcW w:w="1217" w:type="dxa"/>
          </w:tcPr>
          <w:p w14:paraId="708D989D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完成闽清县典型验证方案、三阶段培育路径、商业模式、风险应对等内容</w:t>
            </w:r>
          </w:p>
        </w:tc>
        <w:tc>
          <w:tcPr>
            <w:tcW w:w="1217" w:type="dxa"/>
          </w:tcPr>
          <w:p w14:paraId="43951036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具体分工待第三次会议确定</w:t>
            </w:r>
          </w:p>
        </w:tc>
        <w:tc>
          <w:tcPr>
            <w:tcW w:w="1218" w:type="dxa"/>
          </w:tcPr>
          <w:p w14:paraId="773AE6B9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闽清县验证方案、培育路径图、商业模式表、风险应对表</w:t>
            </w:r>
          </w:p>
        </w:tc>
        <w:tc>
          <w:tcPr>
            <w:tcW w:w="1218" w:type="dxa"/>
          </w:tcPr>
          <w:p w14:paraId="0E0347B9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阶段检查</w:t>
            </w:r>
          </w:p>
        </w:tc>
        <w:tc>
          <w:tcPr>
            <w:tcW w:w="1218" w:type="dxa"/>
          </w:tcPr>
          <w:p w14:paraId="1E8CBE08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未开始</w:t>
            </w:r>
          </w:p>
        </w:tc>
      </w:tr>
      <w:tr w14:paraId="63FA2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3B0D99EC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第三部分章节整合与修改</w:t>
            </w:r>
          </w:p>
        </w:tc>
        <w:tc>
          <w:tcPr>
            <w:tcW w:w="1217" w:type="dxa"/>
          </w:tcPr>
          <w:p w14:paraId="0AD1D16B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2026.08.08—</w:t>
            </w:r>
          </w:p>
          <w:p w14:paraId="6F8E9EC7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2026.08.12</w:t>
            </w:r>
          </w:p>
        </w:tc>
        <w:tc>
          <w:tcPr>
            <w:tcW w:w="1217" w:type="dxa"/>
          </w:tcPr>
          <w:p w14:paraId="2AF5BB3A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整合“闽清县典型验证场景”“培育路径与商业模式”章节</w:t>
            </w:r>
          </w:p>
        </w:tc>
        <w:tc>
          <w:tcPr>
            <w:tcW w:w="1217" w:type="dxa"/>
          </w:tcPr>
          <w:p w14:paraId="46FB7B29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由第三次会议确定整合负责人，全体成员配合</w:t>
            </w:r>
          </w:p>
        </w:tc>
        <w:tc>
          <w:tcPr>
            <w:tcW w:w="1218" w:type="dxa"/>
          </w:tcPr>
          <w:p w14:paraId="0DEDD0BA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第五章、第六章初稿及修改稿</w:t>
            </w:r>
          </w:p>
        </w:tc>
        <w:tc>
          <w:tcPr>
            <w:tcW w:w="1218" w:type="dxa"/>
          </w:tcPr>
          <w:p w14:paraId="081A2980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会议讨论+统一修改</w:t>
            </w:r>
          </w:p>
        </w:tc>
        <w:tc>
          <w:tcPr>
            <w:tcW w:w="1218" w:type="dxa"/>
          </w:tcPr>
          <w:p w14:paraId="2446CB00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未开始</w:t>
            </w:r>
          </w:p>
        </w:tc>
      </w:tr>
      <w:tr w14:paraId="775D9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6F5C16EE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总报告整合</w:t>
            </w:r>
          </w:p>
        </w:tc>
        <w:tc>
          <w:tcPr>
            <w:tcW w:w="1217" w:type="dxa"/>
          </w:tcPr>
          <w:p w14:paraId="4C56BC21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2026.08.12—</w:t>
            </w:r>
          </w:p>
          <w:p w14:paraId="5BDE6162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2026.08.15</w:t>
            </w:r>
          </w:p>
        </w:tc>
        <w:tc>
          <w:tcPr>
            <w:tcW w:w="1217" w:type="dxa"/>
          </w:tcPr>
          <w:p w14:paraId="09D23D00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整合全文，包括绪论、方向研判、技术评价、模型仿真、闽清验证、培育路径、总结</w:t>
            </w:r>
          </w:p>
        </w:tc>
        <w:tc>
          <w:tcPr>
            <w:tcW w:w="1217" w:type="dxa"/>
          </w:tcPr>
          <w:p w14:paraId="2C5082BD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章节整合负责人统一格式，队长统筹</w:t>
            </w:r>
          </w:p>
        </w:tc>
        <w:tc>
          <w:tcPr>
            <w:tcW w:w="1218" w:type="dxa"/>
          </w:tcPr>
          <w:p w14:paraId="2C997C36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总报告初稿</w:t>
            </w:r>
          </w:p>
        </w:tc>
        <w:tc>
          <w:tcPr>
            <w:tcW w:w="1218" w:type="dxa"/>
          </w:tcPr>
          <w:p w14:paraId="5E38474F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全文检查</w:t>
            </w:r>
          </w:p>
        </w:tc>
        <w:tc>
          <w:tcPr>
            <w:tcW w:w="1218" w:type="dxa"/>
          </w:tcPr>
          <w:p w14:paraId="0E316C4A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未开始</w:t>
            </w:r>
          </w:p>
        </w:tc>
      </w:tr>
      <w:tr w14:paraId="68A66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217" w:type="dxa"/>
          </w:tcPr>
          <w:p w14:paraId="3256DB7F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图表与格式统一</w:t>
            </w:r>
          </w:p>
        </w:tc>
        <w:tc>
          <w:tcPr>
            <w:tcW w:w="1217" w:type="dxa"/>
          </w:tcPr>
          <w:p w14:paraId="7EAFE472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2026.08.15—</w:t>
            </w:r>
          </w:p>
          <w:p w14:paraId="7F9F829B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2026.08.17</w:t>
            </w:r>
          </w:p>
        </w:tc>
        <w:tc>
          <w:tcPr>
            <w:tcW w:w="1217" w:type="dxa"/>
          </w:tcPr>
          <w:p w14:paraId="292F9FE6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统一图表风格、编号、图注、表注、引用和排版</w:t>
            </w:r>
          </w:p>
        </w:tc>
        <w:tc>
          <w:tcPr>
            <w:tcW w:w="1217" w:type="dxa"/>
          </w:tcPr>
          <w:p w14:paraId="03C5AFAB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各图表负责人修改，队长统筹</w:t>
            </w:r>
          </w:p>
        </w:tc>
        <w:tc>
          <w:tcPr>
            <w:tcW w:w="1218" w:type="dxa"/>
          </w:tcPr>
          <w:p w14:paraId="4C493D7C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总报告修改稿、图表清单</w:t>
            </w:r>
          </w:p>
        </w:tc>
        <w:tc>
          <w:tcPr>
            <w:tcW w:w="1218" w:type="dxa"/>
          </w:tcPr>
          <w:p w14:paraId="551682A5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格式检查</w:t>
            </w:r>
          </w:p>
        </w:tc>
        <w:tc>
          <w:tcPr>
            <w:tcW w:w="1218" w:type="dxa"/>
          </w:tcPr>
          <w:p w14:paraId="6F07C261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未开始</w:t>
            </w:r>
          </w:p>
        </w:tc>
      </w:tr>
      <w:tr w14:paraId="4C1FB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5445CAD3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内部评审与集中修改</w:t>
            </w:r>
          </w:p>
        </w:tc>
        <w:tc>
          <w:tcPr>
            <w:tcW w:w="1217" w:type="dxa"/>
          </w:tcPr>
          <w:p w14:paraId="3900AA35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2026.08.17—</w:t>
            </w:r>
          </w:p>
          <w:p w14:paraId="291DE80F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2026.08.18</w:t>
            </w:r>
          </w:p>
        </w:tc>
        <w:tc>
          <w:tcPr>
            <w:tcW w:w="1217" w:type="dxa"/>
          </w:tcPr>
          <w:p w14:paraId="12D80F6F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全体成员阅读总报告，提出问题并集中修改</w:t>
            </w:r>
          </w:p>
        </w:tc>
        <w:tc>
          <w:tcPr>
            <w:tcW w:w="1217" w:type="dxa"/>
          </w:tcPr>
          <w:p w14:paraId="12411D37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全体成员参与</w:t>
            </w:r>
          </w:p>
        </w:tc>
        <w:tc>
          <w:tcPr>
            <w:tcW w:w="1218" w:type="dxa"/>
          </w:tcPr>
          <w:p w14:paraId="040A5E89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总报告二稿</w:t>
            </w:r>
          </w:p>
        </w:tc>
        <w:tc>
          <w:tcPr>
            <w:tcW w:w="1218" w:type="dxa"/>
          </w:tcPr>
          <w:p w14:paraId="28224679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问题清单+修改记录</w:t>
            </w:r>
          </w:p>
        </w:tc>
        <w:tc>
          <w:tcPr>
            <w:tcW w:w="1218" w:type="dxa"/>
          </w:tcPr>
          <w:p w14:paraId="3EFCC853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未开始</w:t>
            </w:r>
          </w:p>
        </w:tc>
      </w:tr>
      <w:tr w14:paraId="058AD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495315C2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提交审阅</w:t>
            </w:r>
          </w:p>
        </w:tc>
        <w:tc>
          <w:tcPr>
            <w:tcW w:w="1217" w:type="dxa"/>
          </w:tcPr>
          <w:p w14:paraId="49E40A53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2026.08.19</w:t>
            </w:r>
          </w:p>
        </w:tc>
        <w:tc>
          <w:tcPr>
            <w:tcW w:w="1217" w:type="dxa"/>
          </w:tcPr>
          <w:p w14:paraId="4587AD2E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提交审阅，根据反馈进行最后修改</w:t>
            </w:r>
          </w:p>
        </w:tc>
        <w:tc>
          <w:tcPr>
            <w:tcW w:w="1217" w:type="dxa"/>
          </w:tcPr>
          <w:p w14:paraId="0EBB8744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队长提交，全体配合修改</w:t>
            </w:r>
          </w:p>
        </w:tc>
        <w:tc>
          <w:tcPr>
            <w:tcW w:w="1218" w:type="dxa"/>
          </w:tcPr>
          <w:p w14:paraId="47BE4EE7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最终提交前版本</w:t>
            </w:r>
          </w:p>
        </w:tc>
        <w:tc>
          <w:tcPr>
            <w:tcW w:w="1218" w:type="dxa"/>
          </w:tcPr>
          <w:p w14:paraId="6EA3B26C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外部反馈</w:t>
            </w:r>
          </w:p>
        </w:tc>
        <w:tc>
          <w:tcPr>
            <w:tcW w:w="1218" w:type="dxa"/>
          </w:tcPr>
          <w:p w14:paraId="4AADCD5F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未开始</w:t>
            </w:r>
          </w:p>
        </w:tc>
      </w:tr>
      <w:tr w14:paraId="5CA32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04B961E0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最终提交</w:t>
            </w:r>
          </w:p>
        </w:tc>
        <w:tc>
          <w:tcPr>
            <w:tcW w:w="1217" w:type="dxa"/>
          </w:tcPr>
          <w:p w14:paraId="63046EAC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2026.08.20 前</w:t>
            </w:r>
          </w:p>
        </w:tc>
        <w:tc>
          <w:tcPr>
            <w:tcW w:w="1217" w:type="dxa"/>
          </w:tcPr>
          <w:p w14:paraId="47C21237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完成作品最终版提交</w:t>
            </w:r>
          </w:p>
        </w:tc>
        <w:tc>
          <w:tcPr>
            <w:tcW w:w="1217" w:type="dxa"/>
          </w:tcPr>
          <w:p w14:paraId="26989489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队长统筹</w:t>
            </w:r>
          </w:p>
        </w:tc>
        <w:tc>
          <w:tcPr>
            <w:tcW w:w="1218" w:type="dxa"/>
          </w:tcPr>
          <w:p w14:paraId="37D7FB3F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最终报告、支撑材料、附件</w:t>
            </w:r>
          </w:p>
        </w:tc>
        <w:tc>
          <w:tcPr>
            <w:tcW w:w="1218" w:type="dxa"/>
          </w:tcPr>
          <w:p w14:paraId="3C1710A6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提交检查</w:t>
            </w:r>
          </w:p>
        </w:tc>
        <w:tc>
          <w:tcPr>
            <w:tcW w:w="1218" w:type="dxa"/>
          </w:tcPr>
          <w:p w14:paraId="0D86BDBE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未开始</w:t>
            </w:r>
          </w:p>
        </w:tc>
      </w:tr>
    </w:tbl>
    <w:p w14:paraId="2A5185C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711C6F"/>
    <w:rsid w:val="0016072C"/>
    <w:rsid w:val="00254AFD"/>
    <w:rsid w:val="009B0CE2"/>
    <w:rsid w:val="009C2091"/>
    <w:rsid w:val="00A93FD7"/>
    <w:rsid w:val="00ED7D4A"/>
    <w:rsid w:val="09711C6F"/>
    <w:rsid w:val="487F3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customStyle="1" w:styleId="10">
    <w:name w:val="页眉 字符"/>
    <w:basedOn w:val="8"/>
    <w:link w:val="4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1">
    <w:name w:val="页脚 字符"/>
    <w:basedOn w:val="8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1407</Words>
  <Characters>1654</Characters>
  <Lines>245</Lines>
  <Paragraphs>129</Paragraphs>
  <TotalTime>52</TotalTime>
  <ScaleCrop>false</ScaleCrop>
  <LinksUpToDate>false</LinksUpToDate>
  <CharactersWithSpaces>1668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2026-07-10T01:44:00Z</dcterms:created>
  <dc:creator>Rapunzel</dc:creator>
  <cp:lastModifiedBy>Rapunzel</cp:lastModifiedBy>
  <dcterms:modified xsi:type="dcterms:W3CDTF">2026-07-10T03:20:00Z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0D651C4FBCE04FECBC80099EE3E080E7_13</vt:lpwstr>
  </property>
  <property fmtid="{D5CDD505-2E9C-101B-9397-08002B2CF9AE}" pid="4" name="KSOTemplateDocerSaveRecord">
    <vt:lpwstr>eyJoZGlkIjoiMTgyY2Y5Y2UxZjkwY2NiYzg1MTM4ZmQzOTFhYWJhY2IiLCJ1c2VySWQiOiIxMjQ1ODkwNTc5In0=</vt:lpwstr>
  </property>
</Properties>
</file>