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字段必须属于本次查询用到的表；带表前缀与不带表前缀两种写法分别校验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16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83.3%（10/12），2 条超范围问句仍给出了答案</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里 2 条失败（「客户满意度是多少」「近一周的投诉客户有多少」）已列入已知缺口，改进方向是让规则路径对未登记名词更敏感。第三，目前是未接入模型密钥的规则路径实测，模型路径的主路径指标需在密钥就绪后重跑。</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安全围栏负例断言</w:t>
            </w:r>
          </w:p>
        </w:tc>
        <w:tc>
          <w:tcPr>
            <w:tcW w:type="dxa" w:w="4535"/>
          </w:tcPr>
          <w:p>
            <w:pPr>
              <w:jc w:val="center"/>
            </w:pPr>
            <w:r/>
            <w:r>
              <w:rPr>
                <w:rFonts w:ascii="Times New Roman" w:hAnsi="Times New Roman" w:eastAsia="宋体"/>
                <w:b w:val="0"/>
                <w:sz w:val="21"/>
              </w:rPr>
              <w:t>6 类绕过与误报场景 12 条断言全部通过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118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118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