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证券客户行为沙盘 ClientSim Agent</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课题：通用智能体赋能证券业务——应用场景探索与实践</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公司在极端行情下的客户服务面对三个同时出现的约束。第一是时间：行情下跌当天客户情绪上升最快，服务动作必须在数小时内铺开，事后复盘无法挽回已经发生的投诉与流失。第二是一致性：同一套服务策略由不同客户经理执行，话术分寸、触达节奏和风险揭示的完整程度差异很大，越权推荐和承诺收益类表达往往出现在这类高压的临场沟通中。第三是合规：适当性管理要求把合适的产品提供给合适的客户，而当市场波动放大时，最容易出问题的恰恰是向风险承受能力偏低的客户推送高波动产品的动作。</w:t>
      </w:r>
    </w:p>
    <w:p>
      <w:pPr>
        <w:spacing w:after="120" w:line="360" w:lineRule="auto"/>
        <w:ind w:firstLine="480"/>
      </w:pPr>
      <w:r>
        <w:rPr>
          <w:rFonts w:ascii="Times New Roman" w:hAnsi="Times New Roman" w:eastAsia="宋体"/>
          <w:b w:val="0"/>
          <w:sz w:val="24"/>
        </w:rPr>
        <w:t>现有的两类工具都无法同时回应这三重约束。以 ChatGPT 类通用大模型为主体的客服或分析工具，可以生成通顺的策略文本，但既给不出可复现的群体量化结果，也无法保证输出不越过合规红线，同一段提示词在不同时间会得到不同结论。传统的客户画像与标签系统擅长描述客户当前状态，却不能回答一个前瞻性问题：如果我们今天用这套话术去触达这批客户，24 小时后他们的卖出倾向、投诉风险和流失概率会变成什么样。</w:t>
      </w:r>
    </w:p>
    <w:p>
      <w:pPr>
        <w:spacing w:after="120" w:line="360" w:lineRule="auto"/>
        <w:ind w:firstLine="480"/>
      </w:pPr>
      <w:r>
        <w:rPr>
          <w:rFonts w:ascii="Times New Roman" w:hAnsi="Times New Roman" w:eastAsia="宋体"/>
          <w:b w:val="0"/>
          <w:sz w:val="24"/>
        </w:rPr>
        <w:t>我们把这一缺口作为项目切入点。所谓客户行为沙盘，是指在策略真正触达客户之前，先用一群虚拟客户把这条策略跑一遍。虚拟客户不是随机数，而是由真实客户画像聚类生成的原型智能体，各自带有风险偏好、亏损容忍度、从众敏感度、投资纪律、长期耐心和机构信任六项心理参数，并处在相似性、社交影响、统一服务触达三类关系网络之中。策略进入模拟之后，客户会因为恐慌而产生卖出倾向，也会因为邻居的情绪传导而放大恐慌，还会因为机构主动、差异化、合规的沟通而恢复信任。模拟结束后，输出的是分群接受情况、恐慌峰值、投诉风险、流失概率和应当优先人工介入的客户队列。</w:t>
      </w:r>
    </w:p>
    <w:p>
      <w:pPr>
        <w:spacing w:after="120" w:line="360" w:lineRule="auto"/>
        <w:ind w:firstLine="480"/>
      </w:pPr>
      <w:r>
        <w:rPr>
          <w:rFonts w:ascii="Times New Roman" w:hAnsi="Times New Roman" w:eastAsia="宋体"/>
          <w:b w:val="0"/>
          <w:sz w:val="24"/>
        </w:rPr>
        <w:t>这件事的意义在于把客户服务策略的评估节点从触达之后前移到触达之前。券商不需要先向真实客户发出可能有问题的内容，再根据结果补救；而是在沙盘里先看一遍结果，再决定是否发出、发给谁、用什么话术。这与主办方提出的通用智能体方向高度契合：智能体承担的是理解业务目标、自主规划步骤、调用工具、检查合规边界、输出解释的职责，而不是简单地生成一段文字。</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产品名称为证券客户行为沙盘，形态是独立部署的 Web 智能决策平台，可通过 API 或微前端嵌入券商既有的 CRM、客服与投顾工作台。初赛阶段我们只做一个主场景：暴跌行情下的客户群体压力测试。选择单场景是刻意的收缩，目的是先把一条可运行、可解释、可审计的纵向闭环做完整，再考虑横向扩展。产品推荐适当性预演等第二个场景安排在进入决赛之后。</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用户用一句自然语言描述业务诉求，系统按固定闭环完成处理。业务目标输入之后，智能体先理解意图并生成结构化执行计划，随后把自然语言里的业务参数抽取为结构化场景配置，再按客群口径筛出目标客户池、构建行为画像与记忆摘要、构建客户关系网络、生成三套候选沟通策略、执行群体行为模拟、进行合规硬边界审查，最后比较策略并输出报告。全过程以事件流形式实时推送到界面，每一步都落库为审计记录。</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智能任务中心：输入业务目标，实时显示规划步骤、工具调用轨迹、执行概览与关键指标，失败时给出错误码、重试与取消入口。</w:t>
      </w:r>
    </w:p>
    <w:p>
      <w:pPr>
        <w:pStyle w:val="ListBullet"/>
        <w:spacing w:after="60" w:line="336" w:lineRule="auto"/>
      </w:pPr>
      <w:r>
        <w:rPr>
          <w:rFonts w:ascii="Times New Roman" w:hAnsi="Times New Roman" w:eastAsia="宋体"/>
          <w:b w:val="0"/>
          <w:sz w:val="24"/>
        </w:rPr>
        <w:t>客户洞察中心：按模拟期峰值暴露排序的高风险客户队列，配合六维性格雷达、个体动态行为时间轴和一人一策的微观沟通建议。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唤醒成本）、覆盖全部候选策略的合规发现清单、执行审计轨迹（异步任务路径由执行器逐步记录真实时间戳；同步调试路径不记录逐步时间戳，按事件序列留痕），以及任务与模型信息，支持报告导出。</w:t>
      </w:r>
    </w:p>
    <w:p>
      <w:pPr>
        <w:pStyle w:val="ListBullet"/>
        <w:spacing w:after="60" w:line="336" w:lineRule="auto"/>
      </w:pPr>
      <w:r>
        <w:rPr>
          <w:rFonts w:ascii="Times New Roman" w:hAnsi="Times New Roman" w:eastAsia="宋体"/>
          <w:b w:val="0"/>
          <w:sz w:val="24"/>
        </w:rPr>
        <w:t>技能与审批：任务完成后，系统会把这次的做法与模拟成绩整理成一条候选技能，由人工决定批准或拒绝。当前已完成候选技能生成与人工审批的框架，技能复用效果需等真实数据接入后再验证。系统不开启无审批的在线学习，模型不会自行修改模拟参数。</w:t>
      </w:r>
    </w:p>
    <w:p>
      <w:pPr>
        <w:spacing w:before="200" w:after="120"/>
      </w:pPr>
      <w:r>
        <w:rPr>
          <w:rFonts w:ascii="微软雅黑" w:hAnsi="微软雅黑" w:eastAsia="微软雅黑"/>
          <w:b/>
          <w:color w:val="1E3A8A"/>
          <w:sz w:val="27"/>
        </w:rPr>
        <w:t>2.4 当前范围</w:t>
      </w:r>
    </w:p>
    <w:p>
      <w:pPr>
        <w:spacing w:after="120" w:line="360" w:lineRule="auto"/>
        <w:ind w:firstLine="480"/>
      </w:pPr>
      <w:r>
        <w:rPr>
          <w:rFonts w:ascii="Times New Roman" w:hAnsi="Times New Roman" w:eastAsia="宋体"/>
          <w:b w:val="0"/>
          <w:sz w:val="24"/>
        </w:rPr>
        <w:t>模拟规模为 50 至 1000 名合成客户、五类客户原型、六项心理因素、三类关系网络、5 至 20 个模拟时间步、三套机构策略与固定随机种子。每个客户输出买入、持有、卖出、咨询、投诉与流失六类行为倾向，其中买入、持有、卖出三者之和恒为 1。群体层输出恐慌峰值、机构信任、传播强度、触达覆盖与干预优先级。</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3.2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after="120" w:line="360" w:lineRule="auto"/>
        <w:ind w:firstLine="480"/>
      </w:pPr>
      <w:r>
        <w:rPr>
          <w:rFonts w:ascii="Times New Roman" w:hAnsi="Times New Roman" w:eastAsia="宋体"/>
          <w:b w:val="0"/>
          <w:sz w:val="24"/>
        </w:rPr>
        <w:t>需要说明的是，上面这条八步链路是任务成功时的完整路径，不是写死的工作流。Planner 拿到的是目标与可用工具清单，由它决定用哪些工具、按什么顺序调用；下面的三种情形说明执行过程确实存在判断与调整。</w:t>
      </w:r>
    </w:p>
    <w:p>
      <w:pPr>
        <w:pStyle w:val="ListBullet"/>
        <w:spacing w:after="60" w:line="336" w:lineRule="auto"/>
      </w:pPr>
      <w:r>
        <w:rPr>
          <w:rFonts w:ascii="Times New Roman" w:hAnsi="Times New Roman" w:eastAsia="宋体"/>
          <w:b w:val="0"/>
          <w:sz w:val="24"/>
        </w:rPr>
        <w:t>工具可跳过：目标中不含客群限定时，Planner 不会生成客户筛选步骤；只需要看当前群体状态时，模拟与合规仍会执行，但报告步骤可以省略汇总以外的章节。工具序列因此不是恒定八步。</w:t>
      </w:r>
    </w:p>
    <w:p>
      <w:pPr>
        <w:pStyle w:val="ListBullet"/>
        <w:spacing w:after="60" w:line="336" w:lineRule="auto"/>
      </w:pPr>
      <w:r>
        <w:rPr>
          <w:rFonts w:ascii="Times New Roman" w:hAnsi="Times New Roman" w:eastAsia="宋体"/>
          <w:b w:val="0"/>
          <w:sz w:val="24"/>
        </w:rPr>
        <w:t>结果可触发重规划：客户筛选命中数量不足目标客群规模时，执行器不会直接报错，而是按回撤从高到低补足，并在界面与审计中标注命中不足与补足数量；该情形下筛选步骤的审计状态标为待确认，而不是已完成。</w:t>
      </w:r>
    </w:p>
    <w:p>
      <w:pPr>
        <w:pStyle w:val="ListBullet"/>
        <w:spacing w:after="60" w:line="336" w:lineRule="auto"/>
      </w:pPr>
      <w:r>
        <w:rPr>
          <w:rFonts w:ascii="Times New Roman" w:hAnsi="Times New Roman" w:eastAsia="宋体"/>
          <w:b w:val="0"/>
          <w:sz w:val="24"/>
        </w:rPr>
        <w:t>失败可回退重试：合规审查命中阻断级规则时，策略草稿被改写为合规版本并重新进入检查；单个步骤调用超时会按指数退避重试，上限两次。若模型输出格式不合格，规划结果退回内置模板并记录降级原因，任务继续而不是中断。</w:t>
      </w:r>
    </w:p>
    <w:p>
      <w:pPr>
        <w:spacing w:after="120" w:line="360" w:lineRule="auto"/>
        <w:ind w:firstLine="480"/>
      </w:pPr>
      <w:r>
        <w:rPr>
          <w:rFonts w:ascii="Times New Roman" w:hAnsi="Times New Roman" w:eastAsia="宋体"/>
          <w:b w:val="0"/>
          <w:sz w:val="24"/>
        </w:rPr>
        <w:t>上述分支在审计轨迹中留有痕迹：每一步记录状态（已完成、待确认、已拦截）与真实时间戳，重试会单独产生 step.failed 事件。评委可以据此区分「按计划执行」与「执行过程中改变了计划」。</w:t>
      </w:r>
    </w:p>
    <w:p>
      <w:pPr>
        <w:spacing w:before="200" w:after="120"/>
      </w:pPr>
      <w:r>
        <w:rPr>
          <w:rFonts w:ascii="微软雅黑" w:hAnsi="微软雅黑" w:eastAsia="微软雅黑"/>
          <w:b/>
          <w:color w:val="1E3A8A"/>
          <w:sz w:val="27"/>
        </w:rPr>
        <w:t>3.3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3.4 群体行为模拟的数学模型</w:t>
      </w:r>
    </w:p>
    <w:p>
      <w:pPr>
        <w:spacing w:after="120" w:line="360" w:lineRule="auto"/>
        <w:ind w:firstLine="480"/>
      </w:pPr>
      <w:r>
        <w:rPr>
          <w:rFonts w:ascii="Times New Roman" w:hAnsi="Times New Roman" w:eastAsia="宋体"/>
          <w:b w:val="0"/>
          <w:sz w:val="24"/>
        </w:rPr>
        <w:t>本节给出引擎的完整计算过程。前几节说明的是模块之间怎么连接，真正决定数值结果的是这里的计算。整体顺序是：读取场景参数 → 筛选目标客户 → 生成初始状态 → 建立关系网络 → 按时间步循环更新 → 换算行为倾向并汇总成群体指标与干预队列。以下记客户 i 在第 t 个时间步的恐慌为 p_i(t)，场景跌幅的绝对值为 s，涉及的六项心理参数分别为损失厌恶 λ、从众敏感度 h、收益追求 a、投资纪律 d、长期耐心 k 与机构信任 trust，取值均在 0 到 1 之间。</w:t>
      </w:r>
    </w:p>
    <w:p>
      <w:pPr>
        <w:spacing w:after="120" w:line="360" w:lineRule="auto"/>
        <w:ind w:firstLine="480"/>
      </w:pPr>
      <w:r>
        <w:rPr>
          <w:rFonts w:ascii="Times New Roman" w:hAnsi="Times New Roman" w:eastAsia="宋体"/>
          <w:b w:val="0"/>
          <w:sz w:val="24"/>
        </w:rPr>
        <w:t>第一步是把市场跌幅落到每个客户身上。系统不让所有客户承受同一个跌幅，而是先由心理特征与所持产品算出各自的持仓弹性，再据此得到回撤。</w:t>
      </w:r>
    </w:p>
    <w:p>
      <w:pPr>
        <w:spacing w:before="160" w:after="60"/>
      </w:pPr>
      <w:r>
        <w:rPr>
          <w:rFonts w:ascii="微软雅黑" w:hAnsi="微软雅黑" w:eastAsia="微软雅黑"/>
          <w:b/>
          <w:color w:val="1E3A8A"/>
          <w:sz w:val="22"/>
        </w:rPr>
        <w:t>① 持仓弹性与个体回撤</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β_i = clamp( 0.62 + 0.42·aᵢ + 0.24·hᵢ − 0.16·dᵢ + 0.55·(vᵢ − 1) + ηᵢ , 0.35 , 1.9 )</w:t>
            </w:r>
          </w:p>
          <w:p>
            <w:pPr>
              <w:spacing w:after="40" w:line="324" w:lineRule="auto"/>
            </w:pPr>
            <w:r>
              <w:rPr>
                <w:rFonts w:ascii="Consolas" w:hAnsi="Consolas" w:eastAsia="宋体"/>
                <w:b w:val="0"/>
                <w:color w:val="111827"/>
                <w:sz w:val="21"/>
              </w:rPr>
              <w:t>DDᵢ = clamp( s × 100 × βᵢ + ξᵢ , 0.4 , 45 )</w:t>
            </w:r>
          </w:p>
        </w:tc>
      </w:tr>
    </w:tbl>
    <w:p>
      <w:pPr>
        <w:spacing w:before="60" w:after="200"/>
      </w:pPr>
      <w:r>
        <w:rPr>
          <w:rFonts w:ascii="Times New Roman" w:hAnsi="Times New Roman" w:eastAsia="宋体"/>
          <w:b w:val="0"/>
          <w:color w:val="555F70"/>
          <w:sz w:val="20"/>
        </w:rPr>
        <w:t>vᵢ 为该客户所持产品的波动系数，ηᵢ、ξᵢ 是按随机种子生成的个体扰动。含义是：市场跌 1%，这位客户实际承受多少，由他自己的收益追求、从众倾向、纪律水平决定，再叠加产品本身的波动。同一个客户在不同行情下跌幅成比例；同一场行情下不同客户跌幅不同。</w:t>
      </w:r>
    </w:p>
    <w:p>
      <w:pPr>
        <w:spacing w:after="120" w:line="360" w:lineRule="auto"/>
        <w:ind w:firstLine="480"/>
      </w:pPr>
      <w:r>
        <w:rPr>
          <w:rFonts w:ascii="Times New Roman" w:hAnsi="Times New Roman" w:eastAsia="宋体"/>
          <w:b w:val="0"/>
          <w:sz w:val="24"/>
        </w:rPr>
        <w:t>第二步是初始状态。客户在行情开始前已有一定恐慌，并在此后按时间步演化。</w:t>
      </w:r>
    </w:p>
    <w:p>
      <w:pPr>
        <w:spacing w:before="160" w:after="60"/>
      </w:pPr>
      <w:r>
        <w:rPr>
          <w:rFonts w:ascii="微软雅黑" w:hAnsi="微软雅黑" w:eastAsia="微软雅黑"/>
          <w:b/>
          <w:color w:val="1E3A8A"/>
          <w:sz w:val="22"/>
        </w:rPr>
        <w:t>② 初始恐慌与冲击落地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pᵢ(0) = clamp( 0.1 + 0.35·λᵢ + 0.12·hᵢ + DDᵢ/100 − 0.18·dᵢ )</w:t>
            </w:r>
          </w:p>
          <w:p>
            <w:pPr>
              <w:spacing w:after="40" w:line="324" w:lineRule="auto"/>
            </w:pPr>
            <w:r>
              <w:rPr>
                <w:rFonts w:ascii="Consolas" w:hAnsi="Consolas" w:eastAsia="宋体"/>
                <w:b w:val="0"/>
                <w:color w:val="111827"/>
                <w:sz w:val="21"/>
              </w:rPr>
              <w:t>pᵢ ← clamp( 0.42·pᵢ(0) + s·(0.72 + 0.78·λᵢ) − 0.05·dᵢ )</w:t>
            </w:r>
          </w:p>
        </w:tc>
      </w:tr>
    </w:tbl>
    <w:p>
      <w:pPr>
        <w:spacing w:before="60" w:after="200"/>
      </w:pPr>
      <w:r>
        <w:rPr>
          <w:rFonts w:ascii="Times New Roman" w:hAnsi="Times New Roman" w:eastAsia="宋体"/>
          <w:b w:val="0"/>
          <w:color w:val="555F70"/>
          <w:sz w:val="20"/>
        </w:rPr>
        <w:t>第二行表示行情冲击真正打进来的那一步：原有恐慌只留 42%，主体来自按损失厌恶加权的市场冲击。</w:t>
      </w:r>
    </w:p>
    <w:p>
      <w:pPr>
        <w:spacing w:after="120" w:line="360" w:lineRule="auto"/>
        <w:ind w:firstLine="480"/>
      </w:pPr>
      <w:r>
        <w:rPr>
          <w:rFonts w:ascii="Times New Roman" w:hAnsi="Times New Roman" w:eastAsia="宋体"/>
          <w:b w:val="0"/>
          <w:sz w:val="24"/>
        </w:rPr>
        <w:t>第三步进入时间步循环。每一步先计算当步的行情压力，再计算邻居传导，最后合成新的恐慌。</w:t>
      </w:r>
    </w:p>
    <w:p>
      <w:pPr>
        <w:spacing w:before="160" w:after="60"/>
      </w:pPr>
      <w:r>
        <w:rPr>
          <w:rFonts w:ascii="微软雅黑" w:hAnsi="微软雅黑" w:eastAsia="微软雅黑"/>
          <w:b/>
          <w:color w:val="1E3A8A"/>
          <w:sz w:val="22"/>
        </w:rPr>
        <w:t>③ 当步行情压力</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S(t) = ( 0.095 + 0.82·s ) × shape( H , t/(T−1) )</w:t>
            </w:r>
          </w:p>
          <w:p>
            <w:pPr>
              <w:spacing w:after="40" w:line="324" w:lineRule="auto"/>
            </w:pPr>
            <w:r>
              <w:rPr>
                <w:rFonts w:ascii="Consolas" w:hAnsi="Consolas" w:eastAsia="宋体"/>
                <w:b w:val="0"/>
                <w:color w:val="111827"/>
                <w:sz w:val="21"/>
              </w:rPr>
              <w:t>shape = clamp( ln(max(H,1)/24) / ln 24 , −1 , 1 ) 的线性函数</w:t>
            </w:r>
          </w:p>
        </w:tc>
      </w:tr>
    </w:tbl>
    <w:p>
      <w:pPr>
        <w:spacing w:before="60" w:after="200"/>
      </w:pPr>
      <w:r>
        <w:rPr>
          <w:rFonts w:ascii="Times New Roman" w:hAnsi="Times New Roman" w:eastAsia="宋体"/>
          <w:b w:val="0"/>
          <w:color w:val="555F70"/>
          <w:sz w:val="20"/>
        </w:rPr>
        <w:t>H 为持续时间（小时），T 为总段数。持续时间越长，shape 越大，压力衰减越慢。需要如实说明：在该函数的取值范围内压力随步长单调递减，因此恐慌峰值恒定出现在第一段，时长的影响体现在峰值高度与衰减速度，而不是峰值位置。</w:t>
      </w:r>
    </w:p>
    <w:p>
      <w:pPr>
        <w:spacing w:before="160" w:after="60"/>
      </w:pPr>
      <w:r>
        <w:rPr>
          <w:rFonts w:ascii="微软雅黑" w:hAnsi="微软雅黑" w:eastAsia="微软雅黑"/>
          <w:b/>
          <w:color w:val="1E3A8A"/>
          <w:sz w:val="22"/>
        </w:rPr>
        <w:t>④ 邻居情绪传导</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Cᵢ(t) = [ Σⱼ wᵢⱼ·pⱼ(t−1) / Σⱼ wᵢⱼ ] × hᵢ × ( 0.16 + 0.55·s )</w:t>
            </w:r>
          </w:p>
        </w:tc>
      </w:tr>
    </w:tbl>
    <w:p>
      <w:pPr>
        <w:spacing w:before="60" w:after="200"/>
      </w:pPr>
      <w:r>
        <w:rPr>
          <w:rFonts w:ascii="Times New Roman" w:hAnsi="Times New Roman" w:eastAsia="宋体"/>
          <w:b w:val="0"/>
          <w:color w:val="555F70"/>
          <w:sz w:val="20"/>
        </w:rPr>
        <w:t>wᵢⱼ 是客户 i 与 j 之间的三类关系权重：相似性 0.72、社交影响 1.0、统一服务触达 0.42 至 0.58。括号内一项表示行情跌得越深，情绪传导越快。这一项是「从众效应」在模型中的具体形式，也是本项目区别于单客户画像工具的关键所在。</w:t>
      </w:r>
    </w:p>
    <w:p>
      <w:pPr>
        <w:spacing w:before="160" w:after="60"/>
      </w:pPr>
      <w:r>
        <w:rPr>
          <w:rFonts w:ascii="微软雅黑" w:hAnsi="微软雅黑" w:eastAsia="微软雅黑"/>
          <w:b/>
          <w:color w:val="1E3A8A"/>
          <w:sz w:val="22"/>
        </w:rPr>
        <w:t>⑤ 逐时间步恐慌更新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pᵢ(t) = clamp( 0.56·pᵢ(t−1) + S(t)·λᵢ + Cᵢ(t) + Aᵢ(t) + Wᵢ(t) − Bᵢ(t) − 0.09·dᵢ − 0.045·kᵢ + εᵢ )</w:t>
            </w:r>
          </w:p>
        </w:tc>
      </w:tr>
    </w:tbl>
    <w:p>
      <w:pPr>
        <w:spacing w:before="60" w:after="200"/>
      </w:pPr>
      <w:r>
        <w:rPr>
          <w:rFonts w:ascii="Times New Roman" w:hAnsi="Times New Roman" w:eastAsia="宋体"/>
          <w:b w:val="0"/>
          <w:color w:val="555F70"/>
          <w:sz w:val="20"/>
        </w:rPr>
        <w:t>七项含义：0.56 是上一段恐慌的留存比例（对应记忆层）；S(t)·λᵢ 是按损失厌恶加权的市场压力；Cᵢ(t) 是邻居传导；Aᵢ(t) 是广播式沟通引起的额外警觉；Wᵢ(t) 是主动触达本身惊动平静客户的唤醒效应；Bᵢ(t) 是主动沟通的安抚；投资纪律与长期耐心起自我抑制作用；εᵢ 是幅度 ±0.0175 的随机扰动。</w:t>
      </w:r>
    </w:p>
    <w:p>
      <w:pPr>
        <w:spacing w:after="120" w:line="360" w:lineRule="auto"/>
        <w:ind w:firstLine="480"/>
      </w:pPr>
      <w:r>
        <w:rPr>
          <w:rFonts w:ascii="Times New Roman" w:hAnsi="Times New Roman" w:eastAsia="宋体"/>
          <w:b w:val="0"/>
          <w:sz w:val="24"/>
        </w:rPr>
        <w:t>第四步把恐慌换算成可执行的行为倾向。四项倾向都用 logistic 函数把线性组合压缩到 0 到 1 之间。</w:t>
      </w:r>
    </w:p>
    <w:p>
      <w:pPr>
        <w:spacing w:before="160" w:after="60"/>
      </w:pPr>
      <w:r>
        <w:rPr>
          <w:rFonts w:ascii="微软雅黑" w:hAnsi="微软雅黑" w:eastAsia="微软雅黑"/>
          <w:b/>
          <w:color w:val="1E3A8A"/>
          <w:sz w:val="22"/>
        </w:rPr>
        <w:t>⑥ 行为倾向换算</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sellᵢ    = clamp( σ( (pᵢ − 0.58)·5.2 + 0.7·hᵢ − 1.1·dᵢ ) )</w:t>
            </w:r>
          </w:p>
          <w:p>
            <w:pPr>
              <w:spacing w:after="40" w:line="324" w:lineRule="auto"/>
            </w:pPr>
            <w:r>
              <w:rPr>
                <w:rFonts w:ascii="Consolas" w:hAnsi="Consolas" w:eastAsia="宋体"/>
                <w:b w:val="0"/>
                <w:color w:val="111827"/>
                <w:sz w:val="21"/>
              </w:rPr>
              <w:t>buyᵢ     = clamp( σ( (0.34 − pᵢ)·4.4 + 1.2·aᵢ + 0.35·trustᵢ ) × 0.58 )</w:t>
            </w:r>
          </w:p>
          <w:p>
            <w:pPr>
              <w:spacing w:after="40" w:line="324" w:lineRule="auto"/>
            </w:pPr>
            <w:r>
              <w:rPr>
                <w:rFonts w:ascii="Consolas" w:hAnsi="Consolas" w:eastAsia="宋体"/>
                <w:b w:val="0"/>
                <w:color w:val="111827"/>
                <w:sz w:val="21"/>
              </w:rPr>
              <w:t>holdᵢ    = clamp( 1 − buyᵢ − sellᵢ )</w:t>
            </w:r>
          </w:p>
          <w:p>
            <w:pPr>
              <w:spacing w:after="40" w:line="324" w:lineRule="auto"/>
            </w:pPr>
            <w:r>
              <w:rPr>
                <w:rFonts w:ascii="Consolas" w:hAnsi="Consolas" w:eastAsia="宋体"/>
                <w:b w:val="0"/>
                <w:color w:val="111827"/>
                <w:sz w:val="21"/>
              </w:rPr>
              <w:t>consultᵢ = clamp( σ( (pᵢ − 0.32)·3.4 + 0.65·trustᵢ − 0.25·dᵢ ) × 0.72 )</w:t>
            </w:r>
          </w:p>
          <w:p>
            <w:pPr>
              <w:spacing w:after="40" w:line="324" w:lineRule="auto"/>
            </w:pPr>
            <w:r>
              <w:rPr>
                <w:rFonts w:ascii="Consolas" w:hAnsi="Consolas" w:eastAsia="宋体"/>
                <w:b w:val="0"/>
                <w:color w:val="111827"/>
                <w:sz w:val="21"/>
              </w:rPr>
              <w:t>complaintᵢ = clamp( σ( (pᵢ − 0.62)·4.2 − 2.3·trustᵢ + 7·tone ) × 0.42 )</w:t>
            </w:r>
          </w:p>
          <w:p>
            <w:pPr>
              <w:spacing w:after="40" w:line="324" w:lineRule="auto"/>
            </w:pPr>
            <w:r>
              <w:rPr>
                <w:rFonts w:ascii="Consolas" w:hAnsi="Consolas" w:eastAsia="宋体"/>
                <w:b w:val="0"/>
                <w:color w:val="111827"/>
                <w:sz w:val="21"/>
              </w:rPr>
              <w:t>churnᵢ     = clamp( σ( (0.45 − trustᵢ)·5 + 2.2·complaintᵢ ) × 0.38 )</w:t>
            </w:r>
          </w:p>
        </w:tc>
      </w:tr>
    </w:tbl>
    <w:p>
      <w:pPr>
        <w:spacing w:before="60" w:after="200"/>
      </w:pPr>
      <w:r>
        <w:rPr>
          <w:rFonts w:ascii="Times New Roman" w:hAnsi="Times New Roman" w:eastAsia="宋体"/>
          <w:b w:val="0"/>
          <w:color w:val="555F70"/>
          <w:sz w:val="20"/>
        </w:rPr>
        <w:t>σ 为 logistic 函数。买入、持有、卖出三项恒之和为 1，因此三者可以直接比较。tone 为该策略话术的刺激强度，若草稿被合规拦截则置零。投诉与流失由恐慌和信任共同决定，不单独受话术影响。</w:t>
      </w:r>
    </w:p>
    <w:p>
      <w:pPr>
        <w:spacing w:after="120" w:line="360" w:lineRule="auto"/>
        <w:ind w:firstLine="480"/>
      </w:pPr>
      <w:r>
        <w:rPr>
          <w:rFonts w:ascii="Times New Roman" w:hAnsi="Times New Roman" w:eastAsia="宋体"/>
          <w:b w:val="0"/>
          <w:sz w:val="24"/>
        </w:rPr>
        <w:t>最后是汇总。每个时间步结束后对所有客户取均值，得到该步的群体恐慌、卖出、投诉、流失、信任、触达覆盖与传播强度；同时逐客户记录整个模拟期内的峰值暴露（peakRisk 及其所在段），用于生成干预队列，而不是用期末状态排序——因为干预生效后期末状态会普遍回落，按期末值排序会得到一份人人低风险的名单。</w:t>
      </w:r>
    </w:p>
    <w:p>
      <w:pPr>
        <w:spacing w:before="200" w:after="120"/>
      </w:pPr>
      <w:r>
        <w:rPr>
          <w:rFonts w:ascii="微软雅黑" w:hAnsi="微软雅黑" w:eastAsia="微软雅黑"/>
          <w:b/>
          <w:color w:val="1E3A8A"/>
          <w:sz w:val="27"/>
        </w:rPr>
        <w:t>3.4.1 六项心理参数：含义、取值与校准</w:t>
      </w:r>
    </w:p>
    <w:p>
      <w:pPr>
        <w:spacing w:after="120" w:line="360" w:lineRule="auto"/>
        <w:ind w:firstLine="480"/>
      </w:pPr>
      <w:r>
        <w:rPr>
          <w:rFonts w:ascii="Times New Roman" w:hAnsi="Times New Roman" w:eastAsia="宋体"/>
          <w:b w:val="0"/>
          <w:sz w:val="24"/>
        </w:rPr>
        <w:t>六项心理参数是引擎的行为输入，它们决定每位客户对同一场行情作出多大反应。当前取值来自五类客户原型，同原型内再叠加 ±0.08 的个体抖动，保证同类客户之间仍有差异。</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247"/>
          </w:tcPr>
          <w:p>
            <w:pPr>
              <w:jc w:val="center"/>
            </w:pPr>
            <w:r/>
            <w:r>
              <w:rPr>
                <w:rFonts w:ascii="微软雅黑" w:hAnsi="微软雅黑" w:eastAsia="微软雅黑"/>
                <w:b/>
                <w:sz w:val="21"/>
              </w:rPr>
              <w:t>参数</w:t>
            </w:r>
          </w:p>
        </w:tc>
        <w:tc>
          <w:tcPr>
            <w:tcW w:type="dxa" w:w="2268"/>
          </w:tcPr>
          <w:p>
            <w:pPr>
              <w:jc w:val="center"/>
            </w:pPr>
            <w:r/>
            <w:r>
              <w:rPr>
                <w:rFonts w:ascii="微软雅黑" w:hAnsi="微软雅黑" w:eastAsia="微软雅黑"/>
                <w:b/>
                <w:sz w:val="21"/>
              </w:rPr>
              <w:t>主要影响</w:t>
            </w:r>
          </w:p>
        </w:tc>
        <w:tc>
          <w:tcPr>
            <w:tcW w:type="dxa" w:w="2494"/>
          </w:tcPr>
          <w:p>
            <w:pPr>
              <w:jc w:val="center"/>
            </w:pPr>
            <w:r/>
            <w:r>
              <w:rPr>
                <w:rFonts w:ascii="微软雅黑" w:hAnsi="微软雅黑" w:eastAsia="微软雅黑"/>
                <w:b/>
                <w:sz w:val="21"/>
              </w:rPr>
              <w:t>当前取值来源</w:t>
            </w:r>
          </w:p>
        </w:tc>
        <w:tc>
          <w:tcPr>
            <w:tcW w:type="dxa" w:w="2835"/>
          </w:tcPr>
          <w:p>
            <w:pPr>
              <w:jc w:val="center"/>
            </w:pPr>
            <w:r/>
            <w:r>
              <w:rPr>
                <w:rFonts w:ascii="微软雅黑" w:hAnsi="微软雅黑" w:eastAsia="微软雅黑"/>
                <w:b/>
                <w:sz w:val="21"/>
              </w:rPr>
              <w:t>真实数据接入后的校准方式</w:t>
            </w:r>
          </w:p>
        </w:tc>
      </w:tr>
      <w:tr>
        <w:tc>
          <w:tcPr>
            <w:tcW w:type="dxa" w:w="1247"/>
          </w:tcPr>
          <w:p>
            <w:pPr>
              <w:jc w:val="left"/>
            </w:pPr>
            <w:r/>
            <w:r>
              <w:rPr>
                <w:rFonts w:ascii="Times New Roman" w:hAnsi="Times New Roman" w:eastAsia="宋体"/>
                <w:b w:val="0"/>
                <w:sz w:val="21"/>
              </w:rPr>
              <w:t>损失厌恶 λ</w:t>
            </w:r>
          </w:p>
        </w:tc>
        <w:tc>
          <w:tcPr>
            <w:tcW w:type="dxa" w:w="2268"/>
          </w:tcPr>
          <w:p>
            <w:pPr>
              <w:jc w:val="center"/>
            </w:pPr>
            <w:r/>
            <w:r>
              <w:rPr>
                <w:rFonts w:ascii="Times New Roman" w:hAnsi="Times New Roman" w:eastAsia="宋体"/>
                <w:b w:val="0"/>
                <w:sz w:val="21"/>
              </w:rPr>
              <w:t>市场压力加权、初始恐慌、安抚需求强度</w:t>
            </w:r>
          </w:p>
        </w:tc>
        <w:tc>
          <w:tcPr>
            <w:tcW w:type="dxa" w:w="2494"/>
          </w:tcPr>
          <w:p>
            <w:pPr>
              <w:jc w:val="center"/>
            </w:pPr>
            <w:r/>
            <w:r>
              <w:rPr>
                <w:rFonts w:ascii="Times New Roman" w:hAnsi="Times New Roman" w:eastAsia="宋体"/>
                <w:b w:val="0"/>
                <w:sz w:val="21"/>
              </w:rPr>
              <w:t>按原型设定：稳健守成型 0.84 最高，进取交易型 0.34 最低</w:t>
            </w:r>
          </w:p>
        </w:tc>
        <w:tc>
          <w:tcPr>
            <w:tcW w:type="dxa" w:w="2835"/>
          </w:tcPr>
          <w:p>
            <w:pPr>
              <w:jc w:val="center"/>
            </w:pPr>
            <w:r/>
            <w:r>
              <w:rPr>
                <w:rFonts w:ascii="Times New Roman" w:hAnsi="Times New Roman" w:eastAsia="宋体"/>
                <w:b w:val="0"/>
                <w:sz w:val="21"/>
              </w:rPr>
              <w:t>用真实客户在亏损区间内的减仓与赎回行为与亏损幅度的关系拟合</w:t>
            </w:r>
          </w:p>
        </w:tc>
      </w:tr>
      <w:tr>
        <w:tc>
          <w:tcPr>
            <w:tcW w:type="dxa" w:w="1247"/>
          </w:tcPr>
          <w:p>
            <w:pPr>
              <w:jc w:val="left"/>
            </w:pPr>
            <w:r/>
            <w:r>
              <w:rPr>
                <w:rFonts w:ascii="Times New Roman" w:hAnsi="Times New Roman" w:eastAsia="宋体"/>
                <w:b w:val="0"/>
                <w:sz w:val="21"/>
              </w:rPr>
              <w:t>从众敏感度 h</w:t>
            </w:r>
          </w:p>
        </w:tc>
        <w:tc>
          <w:tcPr>
            <w:tcW w:type="dxa" w:w="2268"/>
          </w:tcPr>
          <w:p>
            <w:pPr>
              <w:jc w:val="center"/>
            </w:pPr>
            <w:r/>
            <w:r>
              <w:rPr>
                <w:rFonts w:ascii="Times New Roman" w:hAnsi="Times New Roman" w:eastAsia="宋体"/>
                <w:b w:val="0"/>
                <w:sz w:val="21"/>
              </w:rPr>
              <w:t>邻居情绪传导强度、卖出倾向、网络影响力</w:t>
            </w:r>
          </w:p>
        </w:tc>
        <w:tc>
          <w:tcPr>
            <w:tcW w:type="dxa" w:w="2494"/>
          </w:tcPr>
          <w:p>
            <w:pPr>
              <w:jc w:val="center"/>
            </w:pPr>
            <w:r/>
            <w:r>
              <w:rPr>
                <w:rFonts w:ascii="Times New Roman" w:hAnsi="Times New Roman" w:eastAsia="宋体"/>
                <w:b w:val="0"/>
                <w:sz w:val="21"/>
              </w:rPr>
              <w:t>按原型设定：高频敏感型 0.81 最高</w:t>
            </w:r>
          </w:p>
        </w:tc>
        <w:tc>
          <w:tcPr>
            <w:tcW w:type="dxa" w:w="2835"/>
          </w:tcPr>
          <w:p>
            <w:pPr>
              <w:jc w:val="center"/>
            </w:pPr>
            <w:r/>
            <w:r>
              <w:rPr>
                <w:rFonts w:ascii="Times New Roman" w:hAnsi="Times New Roman" w:eastAsia="宋体"/>
                <w:b w:val="0"/>
                <w:sz w:val="21"/>
              </w:rPr>
              <w:t>用客户在群体性事件中的同向交易占比拟合</w:t>
            </w:r>
          </w:p>
        </w:tc>
      </w:tr>
      <w:tr>
        <w:tc>
          <w:tcPr>
            <w:tcW w:type="dxa" w:w="1247"/>
          </w:tcPr>
          <w:p>
            <w:pPr>
              <w:jc w:val="left"/>
            </w:pPr>
            <w:r/>
            <w:r>
              <w:rPr>
                <w:rFonts w:ascii="Times New Roman" w:hAnsi="Times New Roman" w:eastAsia="宋体"/>
                <w:b w:val="0"/>
                <w:sz w:val="21"/>
              </w:rPr>
              <w:t>收益追求 a</w:t>
            </w:r>
          </w:p>
        </w:tc>
        <w:tc>
          <w:tcPr>
            <w:tcW w:type="dxa" w:w="2268"/>
          </w:tcPr>
          <w:p>
            <w:pPr>
              <w:jc w:val="center"/>
            </w:pPr>
            <w:r/>
            <w:r>
              <w:rPr>
                <w:rFonts w:ascii="Times New Roman" w:hAnsi="Times New Roman" w:eastAsia="宋体"/>
                <w:b w:val="0"/>
                <w:sz w:val="21"/>
              </w:rPr>
              <w:t>持仓弹性、买入倾向</w:t>
            </w:r>
          </w:p>
        </w:tc>
        <w:tc>
          <w:tcPr>
            <w:tcW w:type="dxa" w:w="2494"/>
          </w:tcPr>
          <w:p>
            <w:pPr>
              <w:jc w:val="center"/>
            </w:pPr>
            <w:r/>
            <w:r>
              <w:rPr>
                <w:rFonts w:ascii="Times New Roman" w:hAnsi="Times New Roman" w:eastAsia="宋体"/>
                <w:b w:val="0"/>
                <w:sz w:val="21"/>
              </w:rPr>
              <w:t>按原型设定：进取交易型 0.86 最高</w:t>
            </w:r>
          </w:p>
        </w:tc>
        <w:tc>
          <w:tcPr>
            <w:tcW w:type="dxa" w:w="2835"/>
          </w:tcPr>
          <w:p>
            <w:pPr>
              <w:jc w:val="center"/>
            </w:pPr>
            <w:r/>
            <w:r>
              <w:rPr>
                <w:rFonts w:ascii="Times New Roman" w:hAnsi="Times New Roman" w:eastAsia="宋体"/>
                <w:b w:val="0"/>
                <w:sz w:val="21"/>
              </w:rPr>
              <w:t>用客户实际持仓的风险等级分布与换手率拟合</w:t>
            </w:r>
          </w:p>
        </w:tc>
      </w:tr>
      <w:tr>
        <w:tc>
          <w:tcPr>
            <w:tcW w:type="dxa" w:w="1247"/>
          </w:tcPr>
          <w:p>
            <w:pPr>
              <w:jc w:val="left"/>
            </w:pPr>
            <w:r/>
            <w:r>
              <w:rPr>
                <w:rFonts w:ascii="Times New Roman" w:hAnsi="Times New Roman" w:eastAsia="宋体"/>
                <w:b w:val="0"/>
                <w:sz w:val="21"/>
              </w:rPr>
              <w:t>投资纪律 d</w:t>
            </w:r>
          </w:p>
        </w:tc>
        <w:tc>
          <w:tcPr>
            <w:tcW w:type="dxa" w:w="2268"/>
          </w:tcPr>
          <w:p>
            <w:pPr>
              <w:jc w:val="center"/>
            </w:pPr>
            <w:r/>
            <w:r>
              <w:rPr>
                <w:rFonts w:ascii="Times New Roman" w:hAnsi="Times New Roman" w:eastAsia="宋体"/>
                <w:b w:val="0"/>
                <w:sz w:val="21"/>
              </w:rPr>
              <w:t>恐慌的自我抑制、卖出倾向、持仓弹性</w:t>
            </w:r>
          </w:p>
        </w:tc>
        <w:tc>
          <w:tcPr>
            <w:tcW w:type="dxa" w:w="2494"/>
          </w:tcPr>
          <w:p>
            <w:pPr>
              <w:jc w:val="center"/>
            </w:pPr>
            <w:r/>
            <w:r>
              <w:rPr>
                <w:rFonts w:ascii="Times New Roman" w:hAnsi="Times New Roman" w:eastAsia="宋体"/>
                <w:b w:val="0"/>
                <w:sz w:val="21"/>
              </w:rPr>
              <w:t>按原型设定：稳健守成型 0.82 最高</w:t>
            </w:r>
          </w:p>
        </w:tc>
        <w:tc>
          <w:tcPr>
            <w:tcW w:type="dxa" w:w="2835"/>
          </w:tcPr>
          <w:p>
            <w:pPr>
              <w:jc w:val="center"/>
            </w:pPr>
            <w:r/>
            <w:r>
              <w:rPr>
                <w:rFonts w:ascii="Times New Roman" w:hAnsi="Times New Roman" w:eastAsia="宋体"/>
                <w:b w:val="0"/>
                <w:sz w:val="21"/>
              </w:rPr>
              <w:t>用回撤期间未发生交易的比例拟合</w:t>
            </w:r>
          </w:p>
        </w:tc>
      </w:tr>
      <w:tr>
        <w:tc>
          <w:tcPr>
            <w:tcW w:type="dxa" w:w="1247"/>
          </w:tcPr>
          <w:p>
            <w:pPr>
              <w:jc w:val="left"/>
            </w:pPr>
            <w:r/>
            <w:r>
              <w:rPr>
                <w:rFonts w:ascii="Times New Roman" w:hAnsi="Times New Roman" w:eastAsia="宋体"/>
                <w:b w:val="0"/>
                <w:sz w:val="21"/>
              </w:rPr>
              <w:t>长期耐心 k</w:t>
            </w:r>
          </w:p>
        </w:tc>
        <w:tc>
          <w:tcPr>
            <w:tcW w:type="dxa" w:w="2268"/>
          </w:tcPr>
          <w:p>
            <w:pPr>
              <w:jc w:val="center"/>
            </w:pPr>
            <w:r/>
            <w:r>
              <w:rPr>
                <w:rFonts w:ascii="Times New Roman" w:hAnsi="Times New Roman" w:eastAsia="宋体"/>
                <w:b w:val="0"/>
                <w:sz w:val="21"/>
              </w:rPr>
              <w:t>恐慌的自我抑制、沟通节奏偏好</w:t>
            </w:r>
          </w:p>
        </w:tc>
        <w:tc>
          <w:tcPr>
            <w:tcW w:type="dxa" w:w="2494"/>
          </w:tcPr>
          <w:p>
            <w:pPr>
              <w:jc w:val="center"/>
            </w:pPr>
            <w:r/>
            <w:r>
              <w:rPr>
                <w:rFonts w:ascii="Times New Roman" w:hAnsi="Times New Roman" w:eastAsia="宋体"/>
                <w:b w:val="0"/>
                <w:sz w:val="21"/>
              </w:rPr>
              <w:t>按原型设定：进取交易型 0.31 最低</w:t>
            </w:r>
          </w:p>
        </w:tc>
        <w:tc>
          <w:tcPr>
            <w:tcW w:type="dxa" w:w="2835"/>
          </w:tcPr>
          <w:p>
            <w:pPr>
              <w:jc w:val="center"/>
            </w:pPr>
            <w:r/>
            <w:r>
              <w:rPr>
                <w:rFonts w:ascii="Times New Roman" w:hAnsi="Times New Roman" w:eastAsia="宋体"/>
                <w:b w:val="0"/>
                <w:sz w:val="21"/>
              </w:rPr>
              <w:t>用客户实际持有期限分布拟合</w:t>
            </w:r>
          </w:p>
        </w:tc>
      </w:tr>
      <w:tr>
        <w:tc>
          <w:tcPr>
            <w:tcW w:type="dxa" w:w="1247"/>
          </w:tcPr>
          <w:p>
            <w:pPr>
              <w:jc w:val="left"/>
            </w:pPr>
            <w:r/>
            <w:r>
              <w:rPr>
                <w:rFonts w:ascii="Times New Roman" w:hAnsi="Times New Roman" w:eastAsia="宋体"/>
                <w:b w:val="0"/>
                <w:sz w:val="21"/>
              </w:rPr>
              <w:t>机构信任 trust</w:t>
            </w:r>
          </w:p>
        </w:tc>
        <w:tc>
          <w:tcPr>
            <w:tcW w:type="dxa" w:w="2268"/>
          </w:tcPr>
          <w:p>
            <w:pPr>
              <w:jc w:val="center"/>
            </w:pPr>
            <w:r/>
            <w:r>
              <w:rPr>
                <w:rFonts w:ascii="Times New Roman" w:hAnsi="Times New Roman" w:eastAsia="宋体"/>
                <w:b w:val="0"/>
                <w:sz w:val="21"/>
              </w:rPr>
              <w:t>投诉与流失倾向、咨询倾向、信任回复速度</w:t>
            </w:r>
          </w:p>
        </w:tc>
        <w:tc>
          <w:tcPr>
            <w:tcW w:type="dxa" w:w="2494"/>
          </w:tcPr>
          <w:p>
            <w:pPr>
              <w:jc w:val="center"/>
            </w:pPr>
            <w:r/>
            <w:r>
              <w:rPr>
                <w:rFonts w:ascii="Times New Roman" w:hAnsi="Times New Roman" w:eastAsia="宋体"/>
                <w:b w:val="0"/>
                <w:sz w:val="21"/>
              </w:rPr>
              <w:t>按原型设定：沉默流失型 0.31 最低</w:t>
            </w:r>
          </w:p>
        </w:tc>
        <w:tc>
          <w:tcPr>
            <w:tcW w:type="dxa" w:w="2835"/>
          </w:tcPr>
          <w:p>
            <w:pPr>
              <w:jc w:val="center"/>
            </w:pPr>
            <w:r/>
            <w:r>
              <w:rPr>
                <w:rFonts w:ascii="Times New Roman" w:hAnsi="Times New Roman" w:eastAsia="宋体"/>
                <w:b w:val="0"/>
                <w:sz w:val="21"/>
              </w:rPr>
              <w:t>用服务触达记录、投诉标签与流失标签拟合</w:t>
            </w:r>
          </w:p>
        </w:tc>
      </w:tr>
    </w:tbl>
    <w:p>
      <w:pPr>
        <w:spacing w:before="80" w:after="240"/>
        <w:jc w:val="center"/>
      </w:pPr>
      <w:r>
        <w:rPr>
          <w:rFonts w:ascii="微软雅黑" w:hAnsi="微软雅黑" w:eastAsia="微软雅黑"/>
          <w:b w:val="0"/>
          <w:color w:val="475569"/>
          <w:sz w:val="21"/>
        </w:rPr>
        <w:t>表 1 六项心理参数的含义、当前取值来源与后续校准方式</w:t>
      </w:r>
    </w:p>
    <w:p>
      <w:pPr>
        <w:spacing w:after="120" w:line="360" w:lineRule="auto"/>
        <w:ind w:firstLine="480"/>
      </w:pPr>
      <w:r>
        <w:rPr>
          <w:rFonts w:ascii="Times New Roman" w:hAnsi="Times New Roman" w:eastAsia="宋体"/>
          <w:b w:val="0"/>
          <w:sz w:val="24"/>
        </w:rPr>
        <w:t>需要如实说明：当前六项参数全部是合成数据下的工程设定，不是对真实客户的心理测量结果。它们的作用是让不同客户对同一场行情产生方向与幅度都合理的差异，而不是宣称刻画了真实客户的心理。真实数据接入后，上表第四列的校准工作才开始，届时需要重新拟合参数分布并同步更新本材料中的指标与结论。</w:t>
      </w:r>
    </w:p>
    <w:p>
      <w:pPr>
        <w:spacing w:before="200" w:after="120"/>
      </w:pPr>
      <w:r>
        <w:rPr>
          <w:rFonts w:ascii="微软雅黑" w:hAnsi="微软雅黑" w:eastAsia="微软雅黑"/>
          <w:b/>
          <w:color w:val="1E3A8A"/>
          <w:sz w:val="27"/>
        </w:rPr>
        <w:t>3.4.2 模型参数的性质与来源</w:t>
      </w:r>
    </w:p>
    <w:p>
      <w:pPr>
        <w:spacing w:after="120" w:line="360" w:lineRule="auto"/>
        <w:ind w:firstLine="480"/>
      </w:pPr>
      <w:r>
        <w:rPr>
          <w:rFonts w:ascii="Times New Roman" w:hAnsi="Times New Roman" w:eastAsia="宋体"/>
          <w:b w:val="0"/>
          <w:sz w:val="24"/>
        </w:rPr>
        <w:t>上面出现的系数并非同一类东西，如实区分它们的来源，有助于判断这套模型的可靠边界。</w:t>
      </w:r>
    </w:p>
    <w:tbl>
      <w:tblPr>
        <w:tblStyle w:val="TableGrid"/>
        <w:tblW w:type="auto" w:w="0"/>
        <w:jc w:val="center"/>
        <w:tblLook w:firstColumn="1" w:firstRow="1" w:lastColumn="0" w:lastRow="0" w:noHBand="0" w:noVBand="1" w:val="04A0"/>
      </w:tblPr>
      <w:tblGrid>
        <w:gridCol w:w="2911"/>
        <w:gridCol w:w="2911"/>
        <w:gridCol w:w="2911"/>
      </w:tblGrid>
      <w:tr>
        <w:tc>
          <w:tcPr>
            <w:tcW w:type="dxa" w:w="1474"/>
          </w:tcPr>
          <w:p>
            <w:pPr>
              <w:jc w:val="center"/>
            </w:pPr>
            <w:r/>
            <w:r>
              <w:rPr>
                <w:rFonts w:ascii="微软雅黑" w:hAnsi="微软雅黑" w:eastAsia="微软雅黑"/>
                <w:b/>
                <w:sz w:val="21"/>
              </w:rPr>
              <w:t>类别</w:t>
            </w:r>
          </w:p>
        </w:tc>
        <w:tc>
          <w:tcPr>
            <w:tcW w:type="dxa" w:w="3175"/>
          </w:tcPr>
          <w:p>
            <w:pPr>
              <w:jc w:val="center"/>
            </w:pPr>
            <w:r/>
            <w:r>
              <w:rPr>
                <w:rFonts w:ascii="微软雅黑" w:hAnsi="微软雅黑" w:eastAsia="微软雅黑"/>
                <w:b/>
                <w:sz w:val="21"/>
              </w:rPr>
              <w:t>典型参数</w:t>
            </w:r>
          </w:p>
        </w:tc>
        <w:tc>
          <w:tcPr>
            <w:tcW w:type="dxa" w:w="3969"/>
          </w:tcPr>
          <w:p>
            <w:pPr>
              <w:jc w:val="center"/>
            </w:pPr>
            <w:r/>
            <w:r>
              <w:rPr>
                <w:rFonts w:ascii="微软雅黑" w:hAnsi="微软雅黑" w:eastAsia="微软雅黑"/>
                <w:b/>
                <w:sz w:val="21"/>
              </w:rPr>
              <w:t>来源与依据</w:t>
            </w:r>
          </w:p>
        </w:tc>
      </w:tr>
      <w:tr>
        <w:tc>
          <w:tcPr>
            <w:tcW w:type="dxa" w:w="1474"/>
          </w:tcPr>
          <w:p>
            <w:pPr>
              <w:jc w:val="left"/>
            </w:pPr>
            <w:r/>
            <w:r>
              <w:rPr>
                <w:rFonts w:ascii="Times New Roman" w:hAnsi="Times New Roman" w:eastAsia="宋体"/>
                <w:b w:val="0"/>
                <w:sz w:val="21"/>
              </w:rPr>
              <w:t>结构性系数</w:t>
            </w:r>
          </w:p>
        </w:tc>
        <w:tc>
          <w:tcPr>
            <w:tcW w:type="dxa" w:w="3175"/>
          </w:tcPr>
          <w:p>
            <w:pPr>
              <w:jc w:val="center"/>
            </w:pPr>
            <w:r/>
            <w:r>
              <w:rPr>
                <w:rFonts w:ascii="Times New Roman" w:hAnsi="Times New Roman" w:eastAsia="宋体"/>
                <w:b w:val="0"/>
                <w:sz w:val="21"/>
              </w:rPr>
              <w:t>恐慌留存 0.56、邻居传导对从众敏感度的线性依赖、买入持有卖出归一</w:t>
            </w:r>
          </w:p>
        </w:tc>
        <w:tc>
          <w:tcPr>
            <w:tcW w:type="dxa" w:w="3969"/>
          </w:tcPr>
          <w:p>
            <w:pPr>
              <w:jc w:val="center"/>
            </w:pPr>
            <w:r/>
            <w:r>
              <w:rPr>
                <w:rFonts w:ascii="Times New Roman" w:hAnsi="Times New Roman" w:eastAsia="宋体"/>
                <w:b w:val="0"/>
                <w:sz w:val="21"/>
              </w:rPr>
              <w:t>模型结构本身的设定，决定「记忆会累积」「情绪会传导」这两条性质是否成立。改动它们会改变模型的行为方式，而不是微调数值。</w:t>
            </w:r>
          </w:p>
        </w:tc>
      </w:tr>
      <w:tr>
        <w:tc>
          <w:tcPr>
            <w:tcW w:type="dxa" w:w="1474"/>
          </w:tcPr>
          <w:p>
            <w:pPr>
              <w:jc w:val="left"/>
            </w:pPr>
            <w:r/>
            <w:r>
              <w:rPr>
                <w:rFonts w:ascii="Times New Roman" w:hAnsi="Times New Roman" w:eastAsia="宋体"/>
                <w:b w:val="0"/>
                <w:sz w:val="21"/>
              </w:rPr>
              <w:t>标定系数</w:t>
            </w:r>
          </w:p>
        </w:tc>
        <w:tc>
          <w:tcPr>
            <w:tcW w:type="dxa" w:w="3175"/>
          </w:tcPr>
          <w:p>
            <w:pPr>
              <w:jc w:val="center"/>
            </w:pPr>
            <w:r/>
            <w:r>
              <w:rPr>
                <w:rFonts w:ascii="Times New Roman" w:hAnsi="Times New Roman" w:eastAsia="宋体"/>
                <w:b w:val="0"/>
                <w:sz w:val="21"/>
              </w:rPr>
              <w:t>传播增益 0.16 + 0.55·s、行情压力 0.095 + 0.82·s、抑制系数 0.09 与 0.045</w:t>
            </w:r>
          </w:p>
        </w:tc>
        <w:tc>
          <w:tcPr>
            <w:tcW w:type="dxa" w:w="3969"/>
          </w:tcPr>
          <w:p>
            <w:pPr>
              <w:jc w:val="center"/>
            </w:pPr>
            <w:r/>
            <w:r>
              <w:rPr>
                <w:rFonts w:ascii="Times New Roman" w:hAnsi="Times New Roman" w:eastAsia="宋体"/>
                <w:b w:val="0"/>
                <w:sz w:val="21"/>
              </w:rPr>
              <w:t>为满足「冲击越大传导越快、持续越久压力越慢」等单调性质而标定，经 630 个场景扫描确认方向一致。它们不是从真实数据拟合得到的。</w:t>
            </w:r>
          </w:p>
        </w:tc>
      </w:tr>
      <w:tr>
        <w:tc>
          <w:tcPr>
            <w:tcW w:type="dxa" w:w="1474"/>
          </w:tcPr>
          <w:p>
            <w:pPr>
              <w:jc w:val="left"/>
            </w:pPr>
            <w:r/>
            <w:r>
              <w:rPr>
                <w:rFonts w:ascii="Times New Roman" w:hAnsi="Times New Roman" w:eastAsia="宋体"/>
                <w:b w:val="0"/>
                <w:sz w:val="21"/>
              </w:rPr>
              <w:t>业务设定参数</w:t>
            </w:r>
          </w:p>
        </w:tc>
        <w:tc>
          <w:tcPr>
            <w:tcW w:type="dxa" w:w="3175"/>
          </w:tcPr>
          <w:p>
            <w:pPr>
              <w:jc w:val="center"/>
            </w:pPr>
            <w:r/>
            <w:r>
              <w:rPr>
                <w:rFonts w:ascii="Times New Roman" w:hAnsi="Times New Roman" w:eastAsia="宋体"/>
                <w:b w:val="0"/>
                <w:sz w:val="21"/>
              </w:rPr>
              <w:t>效用权重（避险 1、触达成本 0.1、唤醒成本 2）</w:t>
            </w:r>
          </w:p>
        </w:tc>
        <w:tc>
          <w:tcPr>
            <w:tcW w:type="dxa" w:w="3969"/>
          </w:tcPr>
          <w:p>
            <w:pPr>
              <w:jc w:val="center"/>
            </w:pPr>
            <w:r/>
            <w:r>
              <w:rPr>
                <w:rFonts w:ascii="Times New Roman" w:hAnsi="Times New Roman" w:eastAsia="宋体"/>
                <w:b w:val="0"/>
                <w:sz w:val="21"/>
              </w:rPr>
              <w:t>避险收益与触达成本量纲不同，两者的兑换率无法从数据中估计，只能由业务方按经营口径设定。材料中同时给出该权重的敏感性曲面。</w:t>
            </w:r>
          </w:p>
        </w:tc>
      </w:tr>
      <w:tr>
        <w:tc>
          <w:tcPr>
            <w:tcW w:type="dxa" w:w="1474"/>
          </w:tcPr>
          <w:p>
            <w:pPr>
              <w:jc w:val="left"/>
            </w:pPr>
            <w:r/>
            <w:r>
              <w:rPr>
                <w:rFonts w:ascii="Times New Roman" w:hAnsi="Times New Roman" w:eastAsia="宋体"/>
                <w:b w:val="0"/>
                <w:sz w:val="21"/>
              </w:rPr>
              <w:t>合成设定</w:t>
            </w:r>
          </w:p>
        </w:tc>
        <w:tc>
          <w:tcPr>
            <w:tcW w:type="dxa" w:w="3175"/>
          </w:tcPr>
          <w:p>
            <w:pPr>
              <w:jc w:val="center"/>
            </w:pPr>
            <w:r/>
            <w:r>
              <w:rPr>
                <w:rFonts w:ascii="Times New Roman" w:hAnsi="Times New Roman" w:eastAsia="宋体"/>
                <w:b w:val="0"/>
                <w:sz w:val="21"/>
              </w:rPr>
              <w:t>六项心理参数的基线取值、五类客户原型的占比</w:t>
            </w:r>
          </w:p>
        </w:tc>
        <w:tc>
          <w:tcPr>
            <w:tcW w:type="dxa" w:w="3969"/>
          </w:tcPr>
          <w:p>
            <w:pPr>
              <w:jc w:val="center"/>
            </w:pPr>
            <w:r/>
            <w:r>
              <w:rPr>
                <w:rFonts w:ascii="Times New Roman" w:hAnsi="Times New Roman" w:eastAsia="宋体"/>
                <w:b w:val="0"/>
                <w:sz w:val="21"/>
              </w:rPr>
              <w:t>当前为合成数据下的工程设定，不是真实客户心理测量值。真实数据接入后需要重新拟合并更新指标。</w:t>
            </w:r>
          </w:p>
        </w:tc>
      </w:tr>
    </w:tbl>
    <w:p>
      <w:pPr>
        <w:spacing w:before="80" w:after="240"/>
        <w:jc w:val="center"/>
      </w:pPr>
      <w:r>
        <w:rPr>
          <w:rFonts w:ascii="微软雅黑" w:hAnsi="微软雅黑" w:eastAsia="微软雅黑"/>
          <w:b w:val="0"/>
          <w:color w:val="475569"/>
          <w:sz w:val="21"/>
        </w:rPr>
        <w:t>表 2 模型中各类参数的性质与来源</w:t>
      </w:r>
    </w:p>
    <w:p>
      <w:pPr>
        <w:spacing w:before="200" w:after="120"/>
      </w:pPr>
      <w:r>
        <w:rPr>
          <w:rFonts w:ascii="微软雅黑" w:hAnsi="微软雅黑" w:eastAsia="微软雅黑"/>
          <w:b/>
          <w:color w:val="1E3A8A"/>
          <w:sz w:val="27"/>
        </w:rPr>
        <w:t>3.4.3 时间步循环伪代码</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输入：场景（跌幅 s、时长 H、客户数 N、段数 T、种子 seed、客群口径）</w:t>
            </w:r>
          </w:p>
          <w:p>
            <w:pPr>
              <w:spacing w:after="40" w:line="324" w:lineRule="auto"/>
            </w:pPr>
            <w:r>
              <w:rPr>
                <w:rFonts w:ascii="Consolas" w:hAnsi="Consolas" w:eastAsia="宋体"/>
                <w:b w:val="0"/>
                <w:color w:val="111827"/>
                <w:sz w:val="21"/>
              </w:rPr>
              <w:t>随机数发生器 rng ← mulberry32(seed)                      # 确定性，保证可复现</w:t>
            </w:r>
          </w:p>
          <w:p>
            <w:pPr>
              <w:spacing w:after="40" w:line="324" w:lineRule="auto"/>
            </w:pPr>
            <w:r>
              <w:rPr>
                <w:rFonts w:ascii="Consolas" w:hAnsi="Consolas" w:eastAsia="宋体"/>
                <w:b w:val="0"/>
                <w:color w:val="111827"/>
                <w:sz w:val="21"/>
              </w:rPr>
              <w:t>客户池   ← 生成候选客户(rng)；目标客户 ← 按口径筛选(客户池, s)   # 命中不足时按回撤降序补足并标注</w:t>
            </w:r>
          </w:p>
          <w:p>
            <w:pPr>
              <w:spacing w:after="40" w:line="324" w:lineRule="auto"/>
            </w:pPr>
            <w:r>
              <w:rPr>
                <w:rFonts w:ascii="Consolas" w:hAnsi="Consolas" w:eastAsia="宋体"/>
                <w:b w:val="0"/>
                <w:color w:val="111827"/>
                <w:sz w:val="21"/>
              </w:rPr>
              <w:t>对每个客户 i：计算 βᵢ、DDᵢ、初始恐慌 pᵢ(0)                    # 公式 ①②</w:t>
            </w:r>
          </w:p>
          <w:p>
            <w:pPr>
              <w:spacing w:after="40" w:line="324" w:lineRule="auto"/>
            </w:pPr>
            <w:r>
              <w:rPr>
                <w:rFonts w:ascii="Consolas" w:hAnsi="Consolas" w:eastAsia="宋体"/>
                <w:b w:val="0"/>
                <w:color w:val="111827"/>
                <w:sz w:val="21"/>
              </w:rPr>
              <w:t>关系网络 ← 生成三类关系边(目标客户, seed)                      # 相似性 / 社交影响 / 统一服务触达</w:t>
            </w:r>
          </w:p>
          <w:p>
            <w:pPr>
              <w:spacing w:after="40" w:line="324" w:lineRule="auto"/>
            </w:pPr>
            <w:r>
              <w:rPr>
                <w:rFonts w:ascii="Consolas" w:hAnsi="Consolas" w:eastAsia="宋体"/>
                <w:b w:val="0"/>
                <w:color w:val="111827"/>
                <w:sz w:val="21"/>
              </w:rPr>
              <w:t>邻接表   ← 建邻接表(关系网络)</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对 t = 1 … T：                                             # 公式 ③④⑤</w:t>
            </w:r>
          </w:p>
          <w:p>
            <w:pPr>
              <w:spacing w:after="40" w:line="324" w:lineRule="auto"/>
            </w:pPr>
            <w:r>
              <w:rPr>
                <w:rFonts w:ascii="Consolas" w:hAnsi="Consolas" w:eastAsia="宋体"/>
                <w:b w:val="0"/>
                <w:color w:val="111827"/>
                <w:sz w:val="21"/>
              </w:rPr>
              <w:t xml:space="preserve">    记录上一步恐慌快照 previous ← {pᵢ(t−1)}                   # 传播只用上一步状态，避免同一步内串行影响</w:t>
            </w:r>
          </w:p>
          <w:p>
            <w:pPr>
              <w:spacing w:after="40" w:line="324" w:lineRule="auto"/>
            </w:pPr>
            <w:r>
              <w:rPr>
                <w:rFonts w:ascii="Consolas" w:hAnsi="Consolas" w:eastAsia="宋体"/>
                <w:b w:val="0"/>
                <w:color w:val="111827"/>
                <w:sz w:val="21"/>
              </w:rPr>
              <w:t xml:space="preserve">    计算当步行情压力 S(t)</w:t>
            </w:r>
          </w:p>
          <w:p>
            <w:pPr>
              <w:spacing w:after="40" w:line="324" w:lineRule="auto"/>
            </w:pPr>
            <w:r>
              <w:rPr>
                <w:rFonts w:ascii="Consolas" w:hAnsi="Consolas" w:eastAsia="宋体"/>
                <w:b w:val="0"/>
                <w:color w:val="111827"/>
                <w:sz w:val="21"/>
              </w:rPr>
              <w:t xml:space="preserve">    对每个客户 i（并行无关，逐一更新）：</w:t>
            </w:r>
          </w:p>
          <w:p>
            <w:pPr>
              <w:spacing w:after="40" w:line="324" w:lineRule="auto"/>
            </w:pPr>
            <w:r>
              <w:rPr>
                <w:rFonts w:ascii="Consolas" w:hAnsi="Consolas" w:eastAsia="宋体"/>
                <w:b w:val="0"/>
                <w:color w:val="111827"/>
                <w:sz w:val="21"/>
              </w:rPr>
              <w:t xml:space="preserve">        计算触达门控 reachedᵢ(t)                              # 覆盖率 × 风险聚焦 × 人工爬坡</w:t>
            </w:r>
          </w:p>
          <w:p>
            <w:pPr>
              <w:spacing w:after="40" w:line="324" w:lineRule="auto"/>
            </w:pPr>
            <w:r>
              <w:rPr>
                <w:rFonts w:ascii="Consolas" w:hAnsi="Consolas" w:eastAsia="宋体"/>
                <w:b w:val="0"/>
                <w:color w:val="111827"/>
                <w:sz w:val="21"/>
              </w:rPr>
              <w:t xml:space="preserve">        计算邻居传导 Cᵢ(t)；计算安抚 Bᵢ(t) 与唤醒 Wᵢ(t)</w:t>
            </w:r>
          </w:p>
          <w:p>
            <w:pPr>
              <w:spacing w:after="40" w:line="324" w:lineRule="auto"/>
            </w:pPr>
            <w:r>
              <w:rPr>
                <w:rFonts w:ascii="Consolas" w:hAnsi="Consolas" w:eastAsia="宋体"/>
                <w:b w:val="0"/>
                <w:color w:val="111827"/>
                <w:sz w:val="21"/>
              </w:rPr>
              <w:t xml:space="preserve">        pᵢ(t) ← clamp( 0.56·pᵢ(t−1) + S(t)·λᵢ + Cᵢ(t) + Aᵢ + Wᵢ − Bᵢ − 0.09·dᵢ − 0.045·kᵢ + εᵢ )</w:t>
            </w:r>
          </w:p>
          <w:p>
            <w:pPr>
              <w:spacing w:after="40" w:line="324" w:lineRule="auto"/>
            </w:pPr>
            <w:r>
              <w:rPr>
                <w:rFonts w:ascii="Consolas" w:hAnsi="Consolas" w:eastAsia="宋体"/>
                <w:b w:val="0"/>
                <w:color w:val="111827"/>
                <w:sz w:val="21"/>
              </w:rPr>
              <w:t xml:space="preserve">        更新信任 trustᵢ；换算 sell / buy / hold / consult / complaint / churn   # 公式 ⑥</w:t>
            </w:r>
          </w:p>
          <w:p>
            <w:pPr>
              <w:spacing w:after="40" w:line="324" w:lineRule="auto"/>
            </w:pPr>
            <w:r>
              <w:rPr>
                <w:rFonts w:ascii="Consolas" w:hAnsi="Consolas" w:eastAsia="宋体"/>
                <w:b w:val="0"/>
                <w:color w:val="111827"/>
                <w:sz w:val="21"/>
              </w:rPr>
              <w:t xml:space="preserve">        若 riskScore(i) &gt; peakRisk(i)：更新 peakRisk(i) 与 peakStep(i)          # 峰值暴露</w:t>
            </w:r>
          </w:p>
          <w:p>
            <w:pPr>
              <w:spacing w:after="40" w:line="324" w:lineRule="auto"/>
            </w:pPr>
            <w:r>
              <w:rPr>
                <w:rFonts w:ascii="Consolas" w:hAnsi="Consolas" w:eastAsia="宋体"/>
                <w:b w:val="0"/>
                <w:color w:val="111827"/>
                <w:sz w:val="21"/>
              </w:rPr>
              <w:t xml:space="preserve">    汇总该步群体均值，写入快照（用于回放与指标曲线）</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按 peakRisk 降序生成干预队列与优先级（高 ≥ 0.45 / 中 ≥ 0.30）</w:t>
            </w:r>
          </w:p>
          <w:p>
            <w:pPr>
              <w:spacing w:after="40" w:line="324" w:lineRule="auto"/>
            </w:pPr>
            <w:r>
              <w:rPr>
                <w:rFonts w:ascii="Consolas" w:hAnsi="Consolas" w:eastAsia="宋体"/>
                <w:b w:val="0"/>
                <w:color w:val="111827"/>
                <w:sz w:val="21"/>
              </w:rPr>
              <w:t>按快照序列计算恐慌峰值、期末卖出 / 投诉 / 流失 / 信任，跑三套方案并比较</w:t>
            </w:r>
          </w:p>
        </w:tc>
      </w:tr>
    </w:tbl>
    <w:p>
      <w:pPr>
        <w:spacing w:before="60" w:after="200"/>
      </w:pPr>
      <w:r>
        <w:rPr>
          <w:rFonts w:ascii="Times New Roman" w:hAnsi="Times New Roman" w:eastAsia="宋体"/>
          <w:b w:val="0"/>
          <w:color w:val="555F70"/>
          <w:sz w:val="20"/>
        </w:rPr>
        <w:t>整段计算不依赖模型输出，因此同一场景与随机种子必然得到相同的聚合结果；模型只影响任务规划、参数抽取与话术措辞，不影响上述任何数值。</w:t>
      </w:r>
    </w:p>
    <w:p>
      <w:pPr>
        <w:spacing w:before="200" w:after="120"/>
      </w:pPr>
      <w:r>
        <w:rPr>
          <w:rFonts w:ascii="微软雅黑" w:hAnsi="微软雅黑" w:eastAsia="微软雅黑"/>
          <w:b/>
          <w:color w:val="1E3A8A"/>
          <w:sz w:val="27"/>
        </w:rPr>
        <w:t>3.5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3.6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与不可用、输出格式错误、模拟失败三类异常都有明确的状态与错误码，并且都会给出确定性的降级结果，界面同步展示错误码、重试与取消入口。知识检索路径另有一条独立判定：当知识库命中不到相关内容时判定为知识缺失（KNOWLEDGE_MISSING），显式降级为无检索并在说明中标注，不静默返回空结果。</w:t>
      </w:r>
    </w:p>
    <w:p>
      <w:pPr>
        <w:spacing w:before="200" w:after="120"/>
      </w:pPr>
      <w:r>
        <w:rPr>
          <w:rFonts w:ascii="微软雅黑" w:hAnsi="微软雅黑" w:eastAsia="微软雅黑"/>
          <w:b/>
          <w:color w:val="1E3A8A"/>
          <w:sz w:val="27"/>
        </w:rPr>
        <w:t>3.7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完成情况</w:t>
      </w:r>
    </w:p>
    <w:p>
      <w:pPr>
        <w:spacing w:after="120" w:line="360" w:lineRule="auto"/>
        <w:ind w:firstLine="480"/>
      </w:pPr>
      <w:r>
        <w:rPr>
          <w:rFonts w:ascii="Times New Roman" w:hAnsi="Times New Roman" w:eastAsia="宋体"/>
          <w:b w:val="0"/>
          <w:sz w:val="24"/>
        </w:rPr>
        <w:t>项目当前已完成四个核心页面、确定性客户生成、三套锚点策略与参数空间搜索、三类关系网络传播、合规发现、审计轨迹、报告导出与完整的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69 项用例覆盖确定性、参数敏感性、分群筛选、行为倾向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4.2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 毫秒级（多次采样 11—26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70 毫秒级（多次采样 59—82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0.35—0.6 秒（视环境负载）</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3 验收指标对照（版本 v0.2.0，规则版本 compliance-rules@2026.09，种子 20260830）</w:t>
      </w:r>
    </w:p>
    <w:p>
      <w:pPr>
        <w:spacing w:before="200" w:after="120"/>
      </w:pPr>
      <w:r>
        <w:rPr>
          <w:rFonts w:ascii="微软雅黑" w:hAnsi="微软雅黑" w:eastAsia="微软雅黑"/>
          <w:b/>
          <w:color w:val="1E3A8A"/>
          <w:sz w:val="27"/>
        </w:rPr>
        <w:t>4.3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4.4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4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4.5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5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6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7 三档冲击下的实测对照（时长 24 小时、步数 10、种子 20260830）</w:t>
      </w:r>
    </w:p>
    <w:p>
      <w:pPr>
        <w:spacing w:after="120" w:line="360" w:lineRule="auto"/>
        <w:ind w:firstLine="480"/>
      </w:pPr>
      <w:r>
        <w:rPr>
          <w:rFonts w:ascii="Times New Roman" w:hAnsi="Times New Roman" w:eastAsia="宋体"/>
          <w:b w:val="0"/>
          <w:sz w:val="24"/>
        </w:rPr>
        <w:t>据此，本节把论证重心放在消融实验，而不是文本类对照。关闭记忆层使基线恐慌峰值从 19.3% 降至 6.0%、关闭传播层降至 16.3%，这两项直接说明「跨时间步的记忆」和「客户之间的情绪传导」是模型不可省略的部分，而这两层恰恰是纯文本方法无法提供的。至于「仅模型」与「模型加知识检索」两种模式，在未配置模型密钥的前提下只是占位对照，材料已如实标注为降级实现，不作为能力结论；正式版本需要在固定模型、固定提示词与固定温度下重复运行若干次后重新比较。</w:t>
      </w:r>
    </w:p>
    <w:p>
      <w:pPr>
        <w:spacing w:before="200" w:after="120"/>
      </w:pPr>
      <w:r>
        <w:rPr>
          <w:rFonts w:ascii="微软雅黑" w:hAnsi="微软雅黑" w:eastAsia="微软雅黑"/>
          <w:b/>
          <w:color w:val="1E3A8A"/>
          <w:sz w:val="27"/>
        </w:rPr>
        <w:t>4.6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三点。第一，这批语料与规则由同一团队在同一轮工作中产出，属于样本内自检，不构成独立验证。第二，32 条的样本量偏小，且缺少同义改写、长句嵌套、隐含承诺、否定套否定和依赖上下文等难例，因此上面这些比率主要用于工程回归，不代表生产环境下的泛化能力。第三，正式对外引用前需要补充由其他成员独立标注的盲样本集重做混淆矩阵，并按错误类型逐条列出漏检与误拦截样本——列出错误案例比展示满分更有说服力。</w:t>
      </w:r>
    </w:p>
    <w:p>
      <w:pPr>
        <w:spacing w:before="200" w:after="120"/>
      </w:pPr>
      <w:r>
        <w:rPr>
          <w:rFonts w:ascii="微软雅黑" w:hAnsi="微软雅黑" w:eastAsia="微软雅黑"/>
          <w:b/>
          <w:color w:val="1E3A8A"/>
          <w:sz w:val="27"/>
        </w:rPr>
        <w:t>4.7 一次完整的业务运行案例</w:t>
      </w:r>
    </w:p>
    <w:p>
      <w:pPr>
        <w:spacing w:after="120" w:line="360" w:lineRule="auto"/>
        <w:ind w:firstLine="480"/>
      </w:pPr>
      <w:r>
        <w:rPr>
          <w:rFonts w:ascii="Times New Roman" w:hAnsi="Times New Roman" w:eastAsia="宋体"/>
          <w:b w:val="0"/>
          <w:sz w:val="24"/>
        </w:rPr>
        <w:t>为了说明系统在实际业务里怎么用，这里给出一次完整运行。场景是市场当日下跌 30%、预计持续 48 小时，任务是分析持有高波动产品的客户并给出沟通建议。</w:t>
      </w:r>
    </w:p>
    <w:p>
      <w:pPr>
        <w:spacing w:after="120" w:line="360" w:lineRule="auto"/>
        <w:ind w:firstLine="480"/>
      </w:pPr>
      <w:r>
        <w:rPr>
          <w:rFonts w:ascii="Times New Roman" w:hAnsi="Times New Roman" w:eastAsia="宋体"/>
          <w:b w:val="0"/>
          <w:sz w:val="24"/>
        </w:rPr>
        <w:t>**第一步，理解目标并筛选客户。** 系统从这句自然语言里抽出跌幅 30%、持续 48 小时两个关键参数，再按高波动回撤客群的口径筛选：候选池共生成 900 名合成客户，其中 300 名同时满足「持有高波动产品」和「基准冲击下持仓弹性不低于 0.8」两个条件，被选为目标客户；另外 525 名未命中，这个数量在界面和审计里都会标注。本次命中充足，因此不需要按回撤补足。</w:t>
      </w:r>
    </w:p>
    <w:p>
      <w:pPr>
        <w:spacing w:after="120" w:line="360" w:lineRule="auto"/>
        <w:ind w:firstLine="480"/>
      </w:pPr>
      <w:r>
        <w:rPr>
          <w:rFonts w:ascii="Times New Roman" w:hAnsi="Times New Roman" w:eastAsia="宋体"/>
          <w:b w:val="0"/>
          <w:sz w:val="24"/>
        </w:rPr>
        <w:t>**第二步，生成画像与关系网络。** 300 名目标客户分布在五类原型上，各自带有六项心理参数，并由心理特征与所持产品共同算出一个持仓弹性，因此在同一场下跌中受损程度各不相同。系统同时建立三类客户关系，供后续的情绪传导使用。</w:t>
      </w:r>
    </w:p>
    <w:p>
      <w:pPr>
        <w:spacing w:after="120" w:line="360" w:lineRule="auto"/>
        <w:ind w:firstLine="480"/>
      </w:pPr>
      <w:r>
        <w:rPr>
          <w:rFonts w:ascii="Times New Roman" w:hAnsi="Times New Roman" w:eastAsia="宋体"/>
          <w:b w:val="0"/>
          <w:sz w:val="24"/>
        </w:rPr>
        <w:t>**第三步，生成策略并做合规检查。** 系统形成三套候选沟通方案，草稿先送合规检查。其中统一风险提示的草稿命中「务必立即行动」与「一定反弹」两处违规表达，被判定为诱导性紧迫表达与绝对化收益断言，随即拦下并改写为合规版本；同时该方案的话术刺激强度在后续推演中归零——被拦下的表达不会发出去，因此也不产生情绪放大效应。另外两套方案的草稿未触发阻断规则。</w:t>
      </w:r>
    </w:p>
    <w:p>
      <w:pPr>
        <w:spacing w:after="120" w:line="360" w:lineRule="auto"/>
        <w:ind w:firstLine="480"/>
      </w:pPr>
      <w:r>
        <w:rPr>
          <w:rFonts w:ascii="Times New Roman" w:hAnsi="Times New Roman" w:eastAsia="宋体"/>
          <w:b w:val="0"/>
          <w:sz w:val="24"/>
        </w:rPr>
        <w:t>**第四步，群体推演与方案比较。** 三套方案在相同客户、相同随机种子下分别推演 10 段，结果如下。</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701"/>
          </w:tcPr>
          <w:p>
            <w:pPr>
              <w:jc w:val="center"/>
            </w:pPr>
            <w:r/>
            <w:r>
              <w:rPr>
                <w:rFonts w:ascii="微软雅黑" w:hAnsi="微软雅黑" w:eastAsia="微软雅黑"/>
                <w:b/>
                <w:sz w:val="21"/>
              </w:rPr>
              <w:t>方案</w:t>
            </w:r>
          </w:p>
        </w:tc>
        <w:tc>
          <w:tcPr>
            <w:tcW w:type="dxa" w:w="1361"/>
          </w:tcPr>
          <w:p>
            <w:pPr>
              <w:jc w:val="center"/>
            </w:pPr>
            <w:r/>
            <w:r>
              <w:rPr>
                <w:rFonts w:ascii="微软雅黑" w:hAnsi="微软雅黑" w:eastAsia="微软雅黑"/>
                <w:b/>
                <w:sz w:val="21"/>
              </w:rPr>
              <w:t>综合推荐度</w:t>
            </w:r>
          </w:p>
        </w:tc>
        <w:tc>
          <w:tcPr>
            <w:tcW w:type="dxa" w:w="1247"/>
          </w:tcPr>
          <w:p>
            <w:pPr>
              <w:jc w:val="center"/>
            </w:pPr>
            <w:r/>
            <w:r>
              <w:rPr>
                <w:rFonts w:ascii="微软雅黑" w:hAnsi="微软雅黑" w:eastAsia="微软雅黑"/>
                <w:b/>
                <w:sz w:val="21"/>
              </w:rPr>
              <w:t>恐慌峰值</w:t>
            </w:r>
          </w:p>
        </w:tc>
        <w:tc>
          <w:tcPr>
            <w:tcW w:type="dxa" w:w="1134"/>
          </w:tcPr>
          <w:p>
            <w:pPr>
              <w:jc w:val="center"/>
            </w:pPr>
            <w:r/>
            <w:r>
              <w:rPr>
                <w:rFonts w:ascii="微软雅黑" w:hAnsi="微软雅黑" w:eastAsia="微软雅黑"/>
                <w:b/>
                <w:sz w:val="21"/>
              </w:rPr>
              <w:t>期末卖出</w:t>
            </w:r>
          </w:p>
        </w:tc>
        <w:tc>
          <w:tcPr>
            <w:tcW w:type="dxa" w:w="1134"/>
          </w:tcPr>
          <w:p>
            <w:pPr>
              <w:jc w:val="center"/>
            </w:pPr>
            <w:r/>
            <w:r>
              <w:rPr>
                <w:rFonts w:ascii="微软雅黑" w:hAnsi="微软雅黑" w:eastAsia="微软雅黑"/>
                <w:b/>
                <w:sz w:val="21"/>
              </w:rPr>
              <w:t>期末流失</w:t>
            </w:r>
          </w:p>
        </w:tc>
        <w:tc>
          <w:tcPr>
            <w:tcW w:type="dxa" w:w="2381"/>
          </w:tcPr>
          <w:p>
            <w:pPr>
              <w:jc w:val="center"/>
            </w:pPr>
            <w:r/>
            <w:r>
              <w:rPr>
                <w:rFonts w:ascii="微软雅黑" w:hAnsi="微软雅黑" w:eastAsia="微软雅黑"/>
                <w:b/>
                <w:sz w:val="21"/>
              </w:rPr>
              <w:t>合规结论</w:t>
            </w:r>
          </w:p>
        </w:tc>
      </w:tr>
      <w:tr>
        <w:tc>
          <w:tcPr>
            <w:tcW w:type="dxa" w:w="1701"/>
          </w:tcPr>
          <w:p>
            <w:pPr>
              <w:jc w:val="left"/>
            </w:pPr>
            <w:r/>
            <w:r>
              <w:rPr>
                <w:rFonts w:ascii="Times New Roman" w:hAnsi="Times New Roman" w:eastAsia="宋体"/>
                <w:b w:val="0"/>
                <w:sz w:val="21"/>
              </w:rPr>
              <w:t>统一风险提示</w:t>
            </w:r>
          </w:p>
        </w:tc>
        <w:tc>
          <w:tcPr>
            <w:tcW w:type="dxa" w:w="1361"/>
          </w:tcPr>
          <w:p>
            <w:pPr>
              <w:jc w:val="center"/>
            </w:pPr>
            <w:r/>
            <w:r>
              <w:rPr>
                <w:rFonts w:ascii="Times New Roman" w:hAnsi="Times New Roman" w:eastAsia="宋体"/>
                <w:b w:val="0"/>
                <w:sz w:val="21"/>
              </w:rPr>
              <w:t>4.68</w:t>
            </w:r>
          </w:p>
        </w:tc>
        <w:tc>
          <w:tcPr>
            <w:tcW w:type="dxa" w:w="1247"/>
          </w:tcPr>
          <w:p>
            <w:pPr>
              <w:jc w:val="center"/>
            </w:pPr>
            <w:r/>
            <w:r>
              <w:rPr>
                <w:rFonts w:ascii="Times New Roman" w:hAnsi="Times New Roman" w:eastAsia="宋体"/>
                <w:b w:val="0"/>
                <w:sz w:val="21"/>
              </w:rPr>
              <w:t>45.8%</w:t>
            </w:r>
          </w:p>
        </w:tc>
        <w:tc>
          <w:tcPr>
            <w:tcW w:type="dxa" w:w="1134"/>
          </w:tcPr>
          <w:p>
            <w:pPr>
              <w:jc w:val="center"/>
            </w:pPr>
            <w:r/>
            <w:r>
              <w:rPr>
                <w:rFonts w:ascii="Times New Roman" w:hAnsi="Times New Roman" w:eastAsia="宋体"/>
                <w:b w:val="0"/>
                <w:sz w:val="21"/>
              </w:rPr>
              <w:t>11.3%</w:t>
            </w:r>
          </w:p>
        </w:tc>
        <w:tc>
          <w:tcPr>
            <w:tcW w:type="dxa" w:w="1134"/>
          </w:tcPr>
          <w:p>
            <w:pPr>
              <w:jc w:val="center"/>
            </w:pPr>
            <w:r/>
            <w:r>
              <w:rPr>
                <w:rFonts w:ascii="Times New Roman" w:hAnsi="Times New Roman" w:eastAsia="宋体"/>
                <w:b w:val="0"/>
                <w:sz w:val="21"/>
              </w:rPr>
              <w:t>10.9%</w:t>
            </w:r>
          </w:p>
        </w:tc>
        <w:tc>
          <w:tcPr>
            <w:tcW w:type="dxa" w:w="2381"/>
          </w:tcPr>
          <w:p>
            <w:pPr>
              <w:jc w:val="center"/>
            </w:pPr>
            <w:r/>
            <w:r>
              <w:rPr>
                <w:rFonts w:ascii="Times New Roman" w:hAnsi="Times New Roman" w:eastAsia="宋体"/>
                <w:b w:val="0"/>
                <w:sz w:val="21"/>
              </w:rPr>
              <w:t>草稿 2 项违规，已拦下改写</w:t>
            </w:r>
          </w:p>
        </w:tc>
      </w:tr>
      <w:tr>
        <w:tc>
          <w:tcPr>
            <w:tcW w:type="dxa" w:w="1701"/>
          </w:tcPr>
          <w:p>
            <w:pPr>
              <w:jc w:val="left"/>
            </w:pPr>
            <w:r/>
            <w:r>
              <w:rPr>
                <w:rFonts w:ascii="Times New Roman" w:hAnsi="Times New Roman" w:eastAsia="宋体"/>
                <w:b w:val="0"/>
                <w:sz w:val="21"/>
              </w:rPr>
              <w:t>分群差异化沟通</w:t>
            </w:r>
          </w:p>
        </w:tc>
        <w:tc>
          <w:tcPr>
            <w:tcW w:type="dxa" w:w="1361"/>
          </w:tcPr>
          <w:p>
            <w:pPr>
              <w:jc w:val="center"/>
            </w:pPr>
            <w:r/>
            <w:r>
              <w:rPr>
                <w:rFonts w:ascii="Times New Roman" w:hAnsi="Times New Roman" w:eastAsia="宋体"/>
                <w:b w:val="0"/>
                <w:sz w:val="21"/>
              </w:rPr>
              <w:t>4.20</w:t>
            </w:r>
          </w:p>
        </w:tc>
        <w:tc>
          <w:tcPr>
            <w:tcW w:type="dxa" w:w="1247"/>
          </w:tcPr>
          <w:p>
            <w:pPr>
              <w:jc w:val="center"/>
            </w:pPr>
            <w:r/>
            <w:r>
              <w:rPr>
                <w:rFonts w:ascii="Times New Roman" w:hAnsi="Times New Roman" w:eastAsia="宋体"/>
                <w:b w:val="0"/>
                <w:sz w:val="21"/>
              </w:rPr>
              <w:t>48.9%</w:t>
            </w:r>
          </w:p>
        </w:tc>
        <w:tc>
          <w:tcPr>
            <w:tcW w:type="dxa" w:w="1134"/>
          </w:tcPr>
          <w:p>
            <w:pPr>
              <w:jc w:val="center"/>
            </w:pPr>
            <w:r/>
            <w:r>
              <w:rPr>
                <w:rFonts w:ascii="Times New Roman" w:hAnsi="Times New Roman" w:eastAsia="宋体"/>
                <w:b w:val="0"/>
                <w:sz w:val="21"/>
              </w:rPr>
              <w:t>5.6%</w:t>
            </w:r>
          </w:p>
        </w:tc>
        <w:tc>
          <w:tcPr>
            <w:tcW w:type="dxa" w:w="1134"/>
          </w:tcPr>
          <w:p>
            <w:pPr>
              <w:jc w:val="center"/>
            </w:pPr>
            <w:r/>
            <w:r>
              <w:rPr>
                <w:rFonts w:ascii="Times New Roman" w:hAnsi="Times New Roman" w:eastAsia="宋体"/>
                <w:b w:val="0"/>
                <w:sz w:val="21"/>
              </w:rPr>
              <w:t>8.6%</w:t>
            </w:r>
          </w:p>
        </w:tc>
        <w:tc>
          <w:tcPr>
            <w:tcW w:type="dxa" w:w="2381"/>
          </w:tcPr>
          <w:p>
            <w:pPr>
              <w:jc w:val="center"/>
            </w:pPr>
            <w:r/>
            <w:r>
              <w:rPr>
                <w:rFonts w:ascii="Times New Roman" w:hAnsi="Times New Roman" w:eastAsia="宋体"/>
                <w:b w:val="0"/>
                <w:sz w:val="21"/>
              </w:rPr>
              <w:t>无草稿违规</w:t>
            </w:r>
          </w:p>
        </w:tc>
      </w:tr>
      <w:tr>
        <w:tc>
          <w:tcPr>
            <w:tcW w:type="dxa" w:w="1701"/>
          </w:tcPr>
          <w:p>
            <w:pPr>
              <w:jc w:val="left"/>
            </w:pPr>
            <w:r/>
            <w:r>
              <w:rPr>
                <w:rFonts w:ascii="Times New Roman" w:hAnsi="Times New Roman" w:eastAsia="宋体"/>
                <w:b w:val="0"/>
                <w:sz w:val="21"/>
              </w:rPr>
              <w:t>不主动沟通</w:t>
            </w:r>
          </w:p>
        </w:tc>
        <w:tc>
          <w:tcPr>
            <w:tcW w:type="dxa" w:w="1361"/>
          </w:tcPr>
          <w:p>
            <w:pPr>
              <w:jc w:val="center"/>
            </w:pPr>
            <w:r/>
            <w:r>
              <w:rPr>
                <w:rFonts w:ascii="Times New Roman" w:hAnsi="Times New Roman" w:eastAsia="宋体"/>
                <w:b w:val="0"/>
                <w:sz w:val="21"/>
              </w:rPr>
              <w:t>0.00</w:t>
            </w:r>
          </w:p>
        </w:tc>
        <w:tc>
          <w:tcPr>
            <w:tcW w:type="dxa" w:w="1247"/>
          </w:tcPr>
          <w:p>
            <w:pPr>
              <w:jc w:val="center"/>
            </w:pPr>
            <w:r/>
            <w:r>
              <w:rPr>
                <w:rFonts w:ascii="Times New Roman" w:hAnsi="Times New Roman" w:eastAsia="宋体"/>
                <w:b w:val="0"/>
                <w:sz w:val="21"/>
              </w:rPr>
              <w:t>53.0%</w:t>
            </w:r>
          </w:p>
        </w:tc>
        <w:tc>
          <w:tcPr>
            <w:tcW w:type="dxa" w:w="1134"/>
          </w:tcPr>
          <w:p>
            <w:pPr>
              <w:jc w:val="center"/>
            </w:pPr>
            <w:r/>
            <w:r>
              <w:rPr>
                <w:rFonts w:ascii="Times New Roman" w:hAnsi="Times New Roman" w:eastAsia="宋体"/>
                <w:b w:val="0"/>
                <w:sz w:val="21"/>
              </w:rPr>
              <w:t>27.8%</w:t>
            </w:r>
          </w:p>
        </w:tc>
        <w:tc>
          <w:tcPr>
            <w:tcW w:type="dxa" w:w="1134"/>
          </w:tcPr>
          <w:p>
            <w:pPr>
              <w:jc w:val="center"/>
            </w:pPr>
            <w:r/>
            <w:r>
              <w:rPr>
                <w:rFonts w:ascii="Times New Roman" w:hAnsi="Times New Roman" w:eastAsia="宋体"/>
                <w:b w:val="0"/>
                <w:sz w:val="21"/>
              </w:rPr>
              <w:t>16.1%</w:t>
            </w:r>
          </w:p>
        </w:tc>
        <w:tc>
          <w:tcPr>
            <w:tcW w:type="dxa" w:w="2381"/>
          </w:tcPr>
          <w:p>
            <w:pPr>
              <w:jc w:val="center"/>
            </w:pPr>
            <w:r/>
            <w:r>
              <w:rPr>
                <w:rFonts w:ascii="Times New Roman" w:hAnsi="Times New Roman" w:eastAsia="宋体"/>
                <w:b w:val="0"/>
                <w:sz w:val="21"/>
              </w:rPr>
              <w:t>无草稿违规</w:t>
            </w:r>
          </w:p>
        </w:tc>
      </w:tr>
    </w:tbl>
    <w:p>
      <w:pPr>
        <w:spacing w:before="80" w:after="240"/>
        <w:jc w:val="center"/>
      </w:pPr>
      <w:r>
        <w:rPr>
          <w:rFonts w:ascii="微软雅黑" w:hAnsi="微软雅黑" w:eastAsia="微软雅黑"/>
          <w:b w:val="0"/>
          <w:color w:val="475569"/>
          <w:sz w:val="21"/>
        </w:rPr>
        <w:t>表 8 案例场景下三套方案的实测结果（跌幅 30%、持续 48 小时、300 名客户、种子 20260830）</w:t>
      </w:r>
    </w:p>
    <w:p>
      <w:pPr>
        <w:spacing w:after="120" w:line="360" w:lineRule="auto"/>
        <w:ind w:firstLine="480"/>
      </w:pPr>
      <w:r>
        <w:rPr>
          <w:rFonts w:ascii="Times New Roman" w:hAnsi="Times New Roman" w:eastAsia="宋体"/>
          <w:b w:val="0"/>
          <w:sz w:val="24"/>
        </w:rPr>
        <w:t>按综合推荐度排序，统一风险提示胜出：它的风险改善最明显，而人力成本远低于分群沟通。需要说明两点。一是该方案原本的违规话术已被拦下，参与推演的是改写后的合规版本，因此上面的数值反映的是合规版本的预期效果，不是违规话术的效果。二是这个结论随场景变化——把跌幅换成 5% 时推荐「不主动沟通」，换成 50% 且持续 72 小时时推荐「分群差异化沟通」，变化方向见 4.3 与 4.4。</w:t>
      </w:r>
    </w:p>
    <w:p>
      <w:pPr>
        <w:spacing w:after="120" w:line="360" w:lineRule="auto"/>
        <w:ind w:firstLine="480"/>
      </w:pPr>
      <w:r>
        <w:rPr>
          <w:rFonts w:ascii="Times New Roman" w:hAnsi="Times New Roman" w:eastAsia="宋体"/>
          <w:b w:val="0"/>
          <w:sz w:val="24"/>
        </w:rPr>
        <w:t>**第五步，输出可执行的联系队列。** 系统按每位客户在整段推演中的峰值暴露排序，得到优先联系名单：高风险 67 名、中风险 229 名、低风险 4 名。排在首位的是 C-1012，推演期内峰值风险 56%、持仓回撤 33.7%，系统同时给出这位客户的沟通渠道、触达时机与建议话术。之所以用峰值而不是期末值排序，是因为干预生效之后大多数客户的期末状态都会回落，按期末值排会得到一份几乎人人低风险的名单，失去业务价值。</w:t>
      </w:r>
    </w:p>
    <w:p>
      <w:pPr>
        <w:spacing w:after="120" w:line="360" w:lineRule="auto"/>
        <w:ind w:firstLine="480"/>
      </w:pPr>
      <w:r>
        <w:rPr>
          <w:rFonts w:ascii="Times New Roman" w:hAnsi="Times New Roman" w:eastAsia="宋体"/>
          <w:b w:val="0"/>
          <w:sz w:val="24"/>
        </w:rPr>
        <w:t>整个过程每一步都写入审计：场景参数、工具序列、每步耗时、命中的合规规则与规则版本、随机种子。导出的报告由同一份数据生成，与界面口径一致。</w:t>
      </w:r>
    </w:p>
    <w:p>
      <w:pPr>
        <w:spacing w:before="200" w:after="120"/>
      </w:pPr>
      <w:r>
        <w:rPr>
          <w:rFonts w:ascii="微软雅黑" w:hAnsi="微软雅黑" w:eastAsia="微软雅黑"/>
          <w:b/>
          <w:color w:val="1E3A8A"/>
          <w:sz w:val="27"/>
        </w:rPr>
        <w:t>4.8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4" name="Picture 4"/>
            <wp:cNvGraphicFramePr>
              <a:graphicFrameLocks noChangeAspect="1"/>
            </wp:cNvGraphicFramePr>
            <a:graphic>
              <a:graphicData uri="http://schemas.openxmlformats.org/drawingml/2006/picture">
                <pic:pic>
                  <pic:nvPicPr>
                    <pic:cNvPr id="0" name="01-智能任务中心.png"/>
                    <pic:cNvPicPr/>
                  </pic:nvPicPr>
                  <pic:blipFill>
                    <a:blip r:embed="rId12"/>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4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5" name="Picture 5"/>
            <wp:cNvGraphicFramePr>
              <a:graphicFrameLocks noChangeAspect="1"/>
            </wp:cNvGraphicFramePr>
            <a:graphic>
              <a:graphicData uri="http://schemas.openxmlformats.org/drawingml/2006/picture">
                <pic:pic>
                  <pic:nvPicPr>
                    <pic:cNvPr id="0" name="02-客户洞察中心.png"/>
                    <pic:cNvPicPr/>
                  </pic:nvPicPr>
                  <pic:blipFill>
                    <a:blip r:embed="rId13"/>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5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6" name="Picture 6"/>
            <wp:cNvGraphicFramePr>
              <a:graphicFrameLocks noChangeAspect="1"/>
            </wp:cNvGraphicFramePr>
            <a:graphic>
              <a:graphicData uri="http://schemas.openxmlformats.org/drawingml/2006/picture">
                <pic:pic>
                  <pic:nvPicPr>
                    <pic:cNvPr id="0" name="03-群体行为沙盘.png"/>
                    <pic:cNvPicPr/>
                  </pic:nvPicPr>
                  <pic:blipFill>
                    <a:blip r:embed="rId14"/>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6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7" name="Picture 7"/>
            <wp:cNvGraphicFramePr>
              <a:graphicFrameLocks noChangeAspect="1"/>
            </wp:cNvGraphicFramePr>
            <a:graphic>
              <a:graphicData uri="http://schemas.openxmlformats.org/drawingml/2006/picture">
                <pic:pic>
                  <pic:nvPicPr>
                    <pic:cNvPr id="0" name="04-策略与审计.png"/>
                    <pic:cNvPicPr/>
                  </pic:nvPicPr>
                  <pic:blipFill>
                    <a:blip r:embed="rId15"/>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7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8" name="Picture 8"/>
            <wp:cNvGraphicFramePr>
              <a:graphicFrameLocks noChangeAspect="1"/>
            </wp:cNvGraphicFramePr>
            <a:graphic>
              <a:graphicData uri="http://schemas.openxmlformats.org/drawingml/2006/picture">
                <pic:pic>
                  <pic:nvPicPr>
                    <pic:cNvPr id="0" name="05-Skill与审批.png"/>
                    <pic:cNvPicPr/>
                  </pic:nvPicPr>
                  <pic:blipFill>
                    <a:blip r:embed="rId16"/>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8 技能与审批：候选技能、指标快照与人工审批记录</w:t>
      </w:r>
    </w:p>
    <w:p>
      <w:pPr>
        <w:spacing w:before="320" w:after="160"/>
      </w:pPr>
      <w:r>
        <w:rPr>
          <w:rFonts w:ascii="微软雅黑" w:hAnsi="微软雅黑" w:eastAsia="微软雅黑"/>
          <w:b/>
          <w:color w:val="0F172A"/>
          <w:sz w:val="32"/>
        </w:rPr>
        <w:t>五、创新点</w:t>
      </w:r>
    </w:p>
    <w:p>
      <w:pPr>
        <w:spacing w:after="120" w:line="360" w:lineRule="auto"/>
        <w:ind w:firstLine="480"/>
      </w:pPr>
      <w:r>
        <w:rPr>
          <w:rFonts w:ascii="Times New Roman" w:hAnsi="Times New Roman" w:eastAsia="宋体"/>
          <w:b w:val="0"/>
          <w:sz w:val="24"/>
        </w:rPr>
        <w:t>本项目的创新点分为一条主创新与四项支撑创新。主创新回答「这个产品能做什么是别的工具做不到的」，支撑创新回答「为什么它能做到、且结果可以被信任」。</w:t>
      </w:r>
    </w:p>
    <w:p>
      <w:pPr>
        <w:spacing w:before="200" w:after="120"/>
      </w:pPr>
      <w:r>
        <w:rPr>
          <w:rFonts w:ascii="微软雅黑" w:hAnsi="微软雅黑" w:eastAsia="微软雅黑"/>
          <w:b/>
          <w:color w:val="1E3A8A"/>
          <w:sz w:val="27"/>
        </w:rPr>
        <w:t>5.1 主创新：在触达客户之前，预演客户群体的反应</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after="120" w:line="360" w:lineRule="auto"/>
        <w:ind w:firstLine="480"/>
      </w:pPr>
      <w:r>
        <w:rPr>
          <w:rFonts w:ascii="Times New Roman" w:hAnsi="Times New Roman" w:eastAsia="宋体"/>
          <w:b w:val="0"/>
          <w:sz w:val="24"/>
        </w:rPr>
        <w:t>这条主线由四个相互咬合的机制组成，缺一不可。</w:t>
      </w:r>
    </w:p>
    <w:p>
      <w:pPr>
        <w:pStyle w:val="ListBullet"/>
        <w:spacing w:after="60" w:line="336" w:lineRule="auto"/>
      </w:pPr>
      <w:r>
        <w:rPr>
          <w:rFonts w:ascii="Times New Roman" w:hAnsi="Times New Roman" w:eastAsia="宋体"/>
          <w:b w:val="0"/>
          <w:sz w:val="24"/>
        </w:rPr>
        <w:t>客户级状态建模：每位客户有自己的六项心理参数、持仓弹性与历史状态，不是把客群当成一个平均值。同一场下跌下，不同客户的恐慌、卖出与流失各不相同。</w:t>
      </w:r>
    </w:p>
    <w:p>
      <w:pPr>
        <w:pStyle w:val="ListBullet"/>
        <w:spacing w:after="60" w:line="336" w:lineRule="auto"/>
      </w:pPr>
      <w:r>
        <w:rPr>
          <w:rFonts w:ascii="Times New Roman" w:hAnsi="Times New Roman" w:eastAsia="宋体"/>
          <w:b w:val="0"/>
          <w:sz w:val="24"/>
        </w:rPr>
        <w:t>三类关系网络上的情绪传导：相似性、社交影响与统一服务触达三类关系边参与邻居状态更新，因此情绪会扩散、会放大，也会因为关键节点被干预而收敛——这是只看单个客户的画像工具给不出的。</w:t>
      </w:r>
    </w:p>
    <w:p>
      <w:pPr>
        <w:pStyle w:val="ListBullet"/>
        <w:spacing w:after="60" w:line="336" w:lineRule="auto"/>
      </w:pPr>
      <w:r>
        <w:rPr>
          <w:rFonts w:ascii="Times New Roman" w:hAnsi="Times New Roman" w:eastAsia="宋体"/>
          <w:b w:val="0"/>
          <w:sz w:val="24"/>
        </w:rPr>
        <w:t>策略作为可干预变量：三套候选沟通方案各自改变触达覆盖率、人工深度与话术贴合度，模拟回答的是「换一种沟通方式，客户反应会怎么变」，而不是只描述客户现状。</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after="120" w:line="360" w:lineRule="auto"/>
        <w:ind w:firstLine="480"/>
      </w:pPr>
      <w:r>
        <w:rPr>
          <w:rFonts w:ascii="Times New Roman" w:hAnsi="Times New Roman" w:eastAsia="宋体"/>
          <w:b w:val="0"/>
          <w:sz w:val="24"/>
        </w:rPr>
        <w:t>四者合起来的结果是：把客户服务策略的评估节点从「触达之后」前移到「触达之前」，并且在同一个沙盘里同时回答「该不该发、发给谁、怎么说、大概会怎样」。</w:t>
      </w:r>
    </w:p>
    <w:p>
      <w:pPr>
        <w:spacing w:before="200" w:after="120"/>
      </w:pPr>
      <w:r>
        <w:rPr>
          <w:rFonts w:ascii="微软雅黑" w:hAnsi="微软雅黑" w:eastAsia="微软雅黑"/>
          <w:b/>
          <w:color w:val="1E3A8A"/>
          <w:sz w:val="27"/>
        </w:rPr>
        <w:t>5.2 支撑创新一：沟通策略的参数化建模与引擎侧搜索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200" w:after="120"/>
      </w:pPr>
      <w:r>
        <w:rPr>
          <w:rFonts w:ascii="微软雅黑" w:hAnsi="微软雅黑" w:eastAsia="微软雅黑"/>
          <w:b/>
          <w:color w:val="1E3A8A"/>
          <w:sz w:val="27"/>
        </w:rPr>
        <w:t>5.3 支撑创新二：模型与数值引擎职责分离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5.4 支撑创新三：合规作为不可绕过的硬边界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5.5 支撑创新四：可验证的评测体系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D1，系统的场景配置与客户字段采用显式契约（见 2.4 与第五章），官方数据到位后只需把字段映射到既有契约，不需要改动引擎结构；具体映射工作量取决于官方数据的实际格式，这一点要到数据到手后才能确认。数值模拟的计算量很小：1000 名客户 20 个时间步的完整模拟在十几次采样中耗时为 59 至 82 毫秒，300 名客户 10 个时间步为 11 至 26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0.35 至 0.6 秒（视环境负载），端到端在 1 秒以内。模型超时与不可用、格式错误、模拟失败三类异常都有降级路径；知识检索在命中不到相关内容时降级为无检索并标注，不会导致任务静默失败。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证券客户行为沙盘 ClientSim Agent ·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