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未登记的字段或函数（不在表名、列名、别名与函数白名单内的标识符）</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带表前缀的字段必须属于该别名对应的表（别名由 FROM / JOIN 建立）</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表」；输出别名不计入</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G-SEM-07</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使用 CTE 时字段归属校验无法进行，跳过但显式留痕</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G-RES-08</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1:1 表上的聚合与 1:n 明细表并列时提示连接放大风险</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20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100%（12/12）</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曾出现一类缺口——问题里出现「客户」但问的是九张表里根本没有的主题（投诉、满意度），兜底逻辑会给出一个客户总数。已改为维护一张域外词表，命中即明确拒答，本轮实测 12 条全部正确拒答。第三，目前是未接入模型密钥的规则路径实测，模型路径的主路径指标需在密钥就绪后重跑。第四，样本内与留出集的 100% 都建立在自造语料体系内；团队另用一批不在语料里的口语化问法做过泛化探针，能答对的比例明显更低，这说明「语料上的 100%」只代表确定性可复现，不代表开放问法的能力上限。第五，规则路径仍有已知限制（均以保证不出错为先）：两张明细表并列的多指标问法（如「持仓市值与交易金额」）、人均口径与多指标跨表组合、以及非总资产口径的数值阈值（如「持仓市值超过 100 万的客户」）这三类问题需要更完整的改写能力，目前改用拒答；未枚举的口语化限定条件通过意图词表拒答，词表之外的写法仍可能退回客户总数；CTE 内部的跨表幻觉字段无法按表校验，已用 G-SEM-07 提醒写入审计；结果层校验只提醒不拦截。第六，评测过程中发现 3 条人工对照查询本身存在连接放大缺陷（q24、q41、q40），已修订并留痕；这说明基准值必须能独立复算，不能默认人工写的就一定对。第七，以上结论针对规则路径；模型路径需在密钥就绪后用同一批问法复测，围栏新增的 G-RES-08 会对「1:1 表聚合与 1:n 表并列」的写法给出连接放大提醒（仅提醒不拦截）；另有「总资产超过 X 的客户的总资产与 A」这类句式会少答一列，属完整性缺口，已返回的数字本身正确。</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安全围栏与规划器边界用例</w:t>
            </w:r>
          </w:p>
        </w:tc>
        <w:tc>
          <w:tcPr>
            <w:tcW w:type="dxa" w:w="4535"/>
          </w:tcPr>
          <w:p>
            <w:pPr>
              <w:jc w:val="center"/>
            </w:pPr>
            <w:r/>
            <w:r>
              <w:rPr>
                <w:rFonts w:ascii="Times New Roman" w:hAnsi="Times New Roman" w:eastAsia="宋体"/>
                <w:b w:val="0"/>
                <w:sz w:val="21"/>
              </w:rPr>
              <w:t>围栏负例 24 条与规划器行为 26 条，全部通过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152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152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