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微软雅黑" w:hAnsi="微软雅黑" w:eastAsia="微软雅黑"/>
          <w:b/>
          <w:color w:val="0F172A"/>
          <w:sz w:val="48"/>
        </w:rPr>
        <w:t>证券客户行为沙盘 ClientSim Agent</w:t>
      </w:r>
    </w:p>
    <w:p>
      <w:pPr>
        <w:spacing w:after="40"/>
        <w:jc w:val="center"/>
      </w:pPr>
      <w:r>
        <w:rPr>
          <w:rFonts w:ascii="微软雅黑" w:hAnsi="微软雅黑" w:eastAsia="微软雅黑"/>
          <w:b w:val="0"/>
          <w:color w:val="475569"/>
          <w:sz w:val="25"/>
        </w:rPr>
        <w:t>2026 华泰证券杯南京大学 AI+创新创意大赛 初赛申报书</w:t>
      </w:r>
    </w:p>
    <w:p>
      <w:pPr>
        <w:spacing w:after="320"/>
        <w:jc w:val="center"/>
      </w:pPr>
      <w:r>
        <w:rPr>
          <w:rFonts w:ascii="微软雅黑" w:hAnsi="微软雅黑" w:eastAsia="微软雅黑"/>
          <w:b w:val="0"/>
          <w:color w:val="475569"/>
          <w:sz w:val="25"/>
        </w:rPr>
        <w:t>课题：通用智能体赋能证券业务——应用场景探索与实践</w:t>
      </w:r>
    </w:p>
    <w:p>
      <w:pPr>
        <w:spacing w:before="320" w:after="160"/>
      </w:pPr>
      <w:r>
        <w:rPr>
          <w:rFonts w:ascii="微软雅黑" w:hAnsi="微软雅黑" w:eastAsia="微软雅黑"/>
          <w:b/>
          <w:color w:val="0F172A"/>
          <w:sz w:val="32"/>
        </w:rPr>
        <w:t>一、项目背景与意义</w:t>
      </w:r>
    </w:p>
    <w:p>
      <w:pPr>
        <w:spacing w:after="120" w:line="360" w:lineRule="auto"/>
        <w:ind w:firstLine="480"/>
      </w:pPr>
      <w:r>
        <w:rPr>
          <w:rFonts w:ascii="Times New Roman" w:hAnsi="Times New Roman" w:eastAsia="宋体"/>
          <w:b w:val="0"/>
          <w:sz w:val="24"/>
        </w:rPr>
        <w:t>证券公司在极端行情下的客户服务面对三个同时出现的约束。第一是时间：行情下跌当天客户情绪上升最快，服务动作必须在数小时内铺开，事后复盘无法挽回已经发生的投诉与流失。第二是一致性：同一套服务策略由不同客户经理执行，话术分寸、触达节奏和风险揭示的完整程度差异很大，越权推荐和承诺收益类表达往往出现在这类高压的临场沟通中。第三是合规：适当性管理要求把合适的产品提供给合适的客户，而当市场波动放大时，最容易出问题的恰恰是向风险承受能力偏低的客户推送高波动产品的动作。</w:t>
      </w:r>
    </w:p>
    <w:p>
      <w:pPr>
        <w:spacing w:after="120" w:line="360" w:lineRule="auto"/>
        <w:ind w:firstLine="480"/>
      </w:pPr>
      <w:r>
        <w:rPr>
          <w:rFonts w:ascii="Times New Roman" w:hAnsi="Times New Roman" w:eastAsia="宋体"/>
          <w:b w:val="0"/>
          <w:sz w:val="24"/>
        </w:rPr>
        <w:t>现有的两类工具都无法同时回应这三重约束。以 ChatGPT 类通用大模型为主体的客服或分析工具，可以生成通顺的策略文本，但既给不出可复现的群体量化结果，也无法保证输出不越过合规红线，同一段提示词在不同时间会得到不同结论。传统的客户画像与标签系统擅长描述客户当前状态，却不能回答一个前瞻性问题：如果我们今天用这套话术去触达这批客户，24 小时后他们的卖出倾向、投诉风险和流失概率会变成什么样。</w:t>
      </w:r>
    </w:p>
    <w:p>
      <w:pPr>
        <w:spacing w:after="120" w:line="360" w:lineRule="auto"/>
        <w:ind w:firstLine="480"/>
      </w:pPr>
      <w:r>
        <w:rPr>
          <w:rFonts w:ascii="Times New Roman" w:hAnsi="Times New Roman" w:eastAsia="宋体"/>
          <w:b w:val="0"/>
          <w:sz w:val="24"/>
        </w:rPr>
        <w:t>我们把这一缺口作为项目切入点。所谓客户行为沙盘，是指在策略真正触达客户之前，先用一群虚拟客户把这条策略跑一遍。虚拟客户不是随机数，而是由真实客户画像聚类生成的原型智能体，各自带有风险偏好、亏损容忍度、从众敏感度、投资纪律、长期耐心和机构信任六项心理参数，并处在相似性、社交影响、统一服务触达三类关系网络之中。策略进入模拟之后，客户会因为恐慌而产生卖出倾向，也会因为邻居的情绪传导而放大恐慌，还会因为机构主动、差异化、合规的沟通而恢复信任。模拟结束后，输出的是分群接受情况、恐慌峰值、投诉风险、流失概率和应当优先人工介入的客户队列。</w:t>
      </w:r>
    </w:p>
    <w:p>
      <w:pPr>
        <w:spacing w:after="120" w:line="360" w:lineRule="auto"/>
        <w:ind w:firstLine="480"/>
      </w:pPr>
      <w:r>
        <w:rPr>
          <w:rFonts w:ascii="Times New Roman" w:hAnsi="Times New Roman" w:eastAsia="宋体"/>
          <w:b w:val="0"/>
          <w:sz w:val="24"/>
        </w:rPr>
        <w:t>这件事的意义在于把客户服务策略的评估节点从触达之后前移到触达之前。券商不需要先向真实客户发出可能有问题的内容，再根据结果补救；而是在沙盘里先看一遍结果，再决定是否发出、发给谁、用什么话术。这与主办方提出的通用智能体方向高度契合：智能体承担的是理解业务目标、自主规划步骤、调用工具、检查合规边界、输出解释的职责，而不是简单地生成一段文字。</w:t>
      </w:r>
    </w:p>
    <w:p>
      <w:pPr>
        <w:spacing w:before="320" w:after="160"/>
      </w:pPr>
      <w:r>
        <w:rPr>
          <w:rFonts w:ascii="微软雅黑" w:hAnsi="微软雅黑" w:eastAsia="微软雅黑"/>
          <w:b/>
          <w:color w:val="0F172A"/>
          <w:sz w:val="32"/>
        </w:rPr>
        <w:t>二、项目内容</w:t>
      </w:r>
    </w:p>
    <w:p>
      <w:pPr>
        <w:spacing w:before="200" w:after="120"/>
      </w:pPr>
      <w:r>
        <w:rPr>
          <w:rFonts w:ascii="微软雅黑" w:hAnsi="微软雅黑" w:eastAsia="微软雅黑"/>
          <w:b/>
          <w:color w:val="1E3A8A"/>
          <w:sz w:val="27"/>
        </w:rPr>
        <w:t>2.1 产品形态与主场景</w:t>
      </w:r>
    </w:p>
    <w:p>
      <w:pPr>
        <w:spacing w:after="120" w:line="360" w:lineRule="auto"/>
        <w:ind w:firstLine="480"/>
      </w:pPr>
      <w:r>
        <w:rPr>
          <w:rFonts w:ascii="Times New Roman" w:hAnsi="Times New Roman" w:eastAsia="宋体"/>
          <w:b w:val="0"/>
          <w:sz w:val="24"/>
        </w:rPr>
        <w:t>产品名称为证券客户行为沙盘，形态是独立部署的 Web 智能决策平台，可通过 API 或微前端嵌入券商既有的 CRM、客服与投顾工作台。初赛阶段我们只做一个主场景：暴跌行情下的客户群体压力测试。选择单场景是刻意的收缩，目的是先把一条可运行、可解释、可审计的纵向闭环做完整，再考虑横向扩展。产品推荐适当性预演等第二个场景安排在进入决赛之后。</w:t>
      </w:r>
    </w:p>
    <w:p>
      <w:pPr>
        <w:spacing w:before="200" w:after="120"/>
      </w:pPr>
      <w:r>
        <w:rPr>
          <w:rFonts w:ascii="微软雅黑" w:hAnsi="微软雅黑" w:eastAsia="微软雅黑"/>
          <w:b/>
          <w:color w:val="1E3A8A"/>
          <w:sz w:val="27"/>
        </w:rPr>
        <w:t>2.2 标准闭环</w:t>
      </w:r>
    </w:p>
    <w:p>
      <w:pPr>
        <w:spacing w:after="120" w:line="360" w:lineRule="auto"/>
        <w:ind w:firstLine="480"/>
      </w:pPr>
      <w:r>
        <w:rPr>
          <w:rFonts w:ascii="Times New Roman" w:hAnsi="Times New Roman" w:eastAsia="宋体"/>
          <w:b w:val="0"/>
          <w:sz w:val="24"/>
        </w:rPr>
        <w:t>用户用一句自然语言描述业务诉求，系统按固定闭环完成处理。业务目标输入之后，智能体先理解意图并生成结构化执行计划，随后把自然语言里的业务参数抽取为结构化场景配置，再按客群口径筛出目标客户池、构建行为画像与记忆摘要、构建客户关系网络、生成三套候选沟通策略、执行群体行为模拟、进行合规硬边界审查，最后比较策略并输出报告。全过程以事件流形式实时推送到界面，每一步都落库为审计记录。</w:t>
      </w:r>
    </w:p>
    <w:p>
      <w:pPr>
        <w:spacing w:before="200" w:after="120"/>
      </w:pPr>
      <w:r>
        <w:rPr>
          <w:rFonts w:ascii="微软雅黑" w:hAnsi="微软雅黑" w:eastAsia="微软雅黑"/>
          <w:b/>
          <w:color w:val="1E3A8A"/>
          <w:sz w:val="27"/>
        </w:rPr>
        <w:t>2.3 工作台页面</w:t>
      </w:r>
    </w:p>
    <w:p>
      <w:pPr>
        <w:pStyle w:val="ListBullet"/>
        <w:spacing w:after="60" w:line="336" w:lineRule="auto"/>
      </w:pPr>
      <w:r>
        <w:rPr>
          <w:rFonts w:ascii="Times New Roman" w:hAnsi="Times New Roman" w:eastAsia="宋体"/>
          <w:b w:val="0"/>
          <w:sz w:val="24"/>
        </w:rPr>
        <w:t>智能任务中心：输入业务目标，实时显示规划步骤、工具调用轨迹、执行概览与关键指标，失败时给出错误码、重试与取消入口。</w:t>
      </w:r>
    </w:p>
    <w:p>
      <w:pPr>
        <w:pStyle w:val="ListBullet"/>
        <w:spacing w:after="60" w:line="336" w:lineRule="auto"/>
      </w:pPr>
      <w:r>
        <w:rPr>
          <w:rFonts w:ascii="Times New Roman" w:hAnsi="Times New Roman" w:eastAsia="宋体"/>
          <w:b w:val="0"/>
          <w:sz w:val="24"/>
        </w:rPr>
        <w:t>客户洞察中心：按模拟期峰值暴露排序的高风险客户队列，配合六维性格雷达、个体动态行为时间轴和一人一策的微观沟通建议。</w:t>
      </w:r>
    </w:p>
    <w:p>
      <w:pPr>
        <w:pStyle w:val="ListBullet"/>
        <w:spacing w:after="60" w:line="336" w:lineRule="auto"/>
      </w:pPr>
      <w:r>
        <w:rPr>
          <w:rFonts w:ascii="Times New Roman" w:hAnsi="Times New Roman" w:eastAsia="宋体"/>
          <w:b w:val="0"/>
          <w:sz w:val="24"/>
        </w:rPr>
        <w:t>群体行为沙盘：三套锚点策略的结果对比与参数空间网格搜索的最优组合、五类原型分群布局的传播网络动画回放、逐时间步聚合指标与六类行为倾向分布。</w:t>
      </w:r>
    </w:p>
    <w:p>
      <w:pPr>
        <w:pStyle w:val="ListBullet"/>
        <w:spacing w:after="60" w:line="336" w:lineRule="auto"/>
      </w:pPr>
      <w:r>
        <w:rPr>
          <w:rFonts w:ascii="Times New Roman" w:hAnsi="Times New Roman" w:eastAsia="宋体"/>
          <w:b w:val="0"/>
          <w:sz w:val="24"/>
        </w:rPr>
        <w:t>策略与审计：策略比较表（净效用 = 避险收益 − 触达成本 − 唤醒成本）、覆盖全部候选策略的合规发现清单、执行审计轨迹（异步任务路径由执行器逐步记录真实时间戳；同步调试路径不记录逐步时间戳，按事件序列留痕），以及任务与模型信息，支持报告导出。</w:t>
      </w:r>
    </w:p>
    <w:p>
      <w:pPr>
        <w:pStyle w:val="ListBullet"/>
        <w:spacing w:after="60" w:line="336" w:lineRule="auto"/>
      </w:pPr>
      <w:r>
        <w:rPr>
          <w:rFonts w:ascii="Times New Roman" w:hAnsi="Times New Roman" w:eastAsia="宋体"/>
          <w:b w:val="0"/>
          <w:sz w:val="24"/>
        </w:rPr>
        <w:t>技能与审批：任务完成后，系统会把这次的做法与模拟成绩整理成一条候选技能，由人工决定批准或拒绝。当前已完成候选技能生成与人工审批的框架，技能复用效果需等真实数据接入后再验证。系统不开启无审批的在线学习，模型不会自行修改模拟参数。</w:t>
      </w:r>
    </w:p>
    <w:p>
      <w:pPr>
        <w:spacing w:before="200" w:after="120"/>
      </w:pPr>
      <w:r>
        <w:rPr>
          <w:rFonts w:ascii="微软雅黑" w:hAnsi="微软雅黑" w:eastAsia="微软雅黑"/>
          <w:b/>
          <w:color w:val="1E3A8A"/>
          <w:sz w:val="27"/>
        </w:rPr>
        <w:t>2.4 当前范围</w:t>
      </w:r>
    </w:p>
    <w:p>
      <w:pPr>
        <w:spacing w:after="120" w:line="360" w:lineRule="auto"/>
        <w:ind w:firstLine="480"/>
      </w:pPr>
      <w:r>
        <w:rPr>
          <w:rFonts w:ascii="Times New Roman" w:hAnsi="Times New Roman" w:eastAsia="宋体"/>
          <w:b w:val="0"/>
          <w:sz w:val="24"/>
        </w:rPr>
        <w:t>模拟规模为 50 至 1000 名合成客户、五类客户原型、六项心理因素、三类关系网络、5 至 20 个模拟时间步、三套机构策略与固定随机种子。每个客户输出买入、持有、卖出、咨询、投诉与流失六类行为倾向，其中买入、持有、卖出三者之和恒为 1。群体层输出恐慌峰值、机构信任、传播强度、触达覆盖与干预优先级。</w:t>
      </w:r>
    </w:p>
    <w:p>
      <w:pPr>
        <w:spacing w:before="320" w:after="160"/>
      </w:pPr>
      <w:r>
        <w:rPr>
          <w:rFonts w:ascii="微软雅黑" w:hAnsi="微软雅黑" w:eastAsia="微软雅黑"/>
          <w:b/>
          <w:color w:val="0F172A"/>
          <w:sz w:val="32"/>
        </w:rPr>
        <w:t>三、技术方案</w:t>
      </w:r>
    </w:p>
    <w:p>
      <w:pPr>
        <w:spacing w:before="200" w:after="120"/>
      </w:pPr>
      <w:r>
        <w:rPr>
          <w:rFonts w:ascii="微软雅黑" w:hAnsi="微软雅黑" w:eastAsia="微软雅黑"/>
          <w:b/>
          <w:color w:val="1E3A8A"/>
          <w:sz w:val="27"/>
        </w:rPr>
        <w:t>3.1 系统分层</w:t>
      </w:r>
    </w:p>
    <w:p>
      <w:pPr>
        <w:spacing w:after="120" w:line="360" w:lineRule="auto"/>
        <w:ind w:firstLine="480"/>
      </w:pPr>
      <w:r>
        <w:rPr>
          <w:rFonts w:ascii="Times New Roman" w:hAnsi="Times New Roman" w:eastAsia="宋体"/>
          <w:b w:val="0"/>
          <w:sz w:val="24"/>
        </w:rPr>
        <w:t>系统自上而下分为五层。产品体验层是 React 与 TypeScript 实现的工作台，通过 SSE 订阅真实执行进度。Harness 层是智能体底座，统一管理工具注册、记忆、权限、执行流程与审计留痕。行为模拟层是确定性 TypeScript 数值引擎，负责客户生成、关系网络与逐时间步状态更新。合规与数据层承载规则引擎、适当性矩阵与持久化。集成层对外提供稳定接口，并预留券商系统对接与多租户权限的位置。</w:t>
      </w:r>
    </w:p>
    <w:p>
      <w:pPr>
        <w:spacing w:before="160" w:after="40"/>
        <w:jc w:val="center"/>
      </w:pPr>
      <w:r>
        <w:drawing>
          <wp:inline xmlns:a="http://schemas.openxmlformats.org/drawingml/2006/main" xmlns:pic="http://schemas.openxmlformats.org/drawingml/2006/picture">
            <wp:extent cx="5616000" cy="3369600"/>
            <wp:docPr id="1" name="Picture 1"/>
            <wp:cNvGraphicFramePr>
              <a:graphicFrameLocks noChangeAspect="1"/>
            </wp:cNvGraphicFramePr>
            <a:graphic>
              <a:graphicData uri="http://schemas.openxmlformats.org/drawingml/2006/picture">
                <pic:pic>
                  <pic:nvPicPr>
                    <pic:cNvPr id="0" name="01-系统架构.png"/>
                    <pic:cNvPicPr/>
                  </pic:nvPicPr>
                  <pic:blipFill>
                    <a:blip r:embed="rId9"/>
                    <a:stretch>
                      <a:fillRect/>
                    </a:stretch>
                  </pic:blipFill>
                  <pic:spPr>
                    <a:xfrm>
                      <a:off x="0" y="0"/>
                      <a:ext cx="5616000" cy="3369600"/>
                    </a:xfrm>
                    <a:prstGeom prst="rect"/>
                  </pic:spPr>
                </pic:pic>
              </a:graphicData>
            </a:graphic>
          </wp:inline>
        </w:drawing>
      </w:r>
    </w:p>
    <w:p>
      <w:pPr>
        <w:spacing w:after="240"/>
        <w:jc w:val="center"/>
      </w:pPr>
      <w:r>
        <w:rPr>
          <w:rFonts w:ascii="微软雅黑" w:hAnsi="微软雅黑" w:eastAsia="微软雅黑"/>
          <w:b w:val="0"/>
          <w:color w:val="475569"/>
          <w:sz w:val="21"/>
        </w:rPr>
        <w:t>图 1 系统架构：五层分层与各层职责</w:t>
      </w:r>
    </w:p>
    <w:p>
      <w:pPr>
        <w:spacing w:before="200" w:after="120"/>
      </w:pPr>
      <w:r>
        <w:rPr>
          <w:rFonts w:ascii="微软雅黑" w:hAnsi="微软雅黑" w:eastAsia="微软雅黑"/>
          <w:b/>
          <w:color w:val="1E3A8A"/>
          <w:sz w:val="27"/>
        </w:rPr>
        <w:t>3.2 Agent Loop 与 Harness 分工</w:t>
      </w:r>
    </w:p>
    <w:p>
      <w:pPr>
        <w:spacing w:after="120" w:line="360" w:lineRule="auto"/>
        <w:ind w:firstLine="480"/>
      </w:pPr>
      <w:r>
        <w:rPr>
          <w:rFonts w:ascii="Times New Roman" w:hAnsi="Times New Roman" w:eastAsia="宋体"/>
          <w:b w:val="0"/>
          <w:sz w:val="24"/>
        </w:rPr>
        <w:t>Harness 由六个部件组成。Planner 把自然语言目标翻译成结构化步骤与工具序列；Executor 逐步执行并把每一步的输入输出落库；Tool Registry 注册八个工具，覆盖场景抽取、客户查询、画像构建、关系网络构建、策略起草、模拟执行、合规审查与报告生成；Memory 保存结构化画像与会话记忆摘要；Reflector 在任务成功后评估结果并沉淀候选技能；Policy Gateway 是模型的硬边界，其草稿级拦截前置于数值模拟，不参与智能体的自由决策。</w:t>
      </w:r>
    </w:p>
    <w:p>
      <w:pPr>
        <w:spacing w:after="120" w:line="360" w:lineRule="auto"/>
        <w:ind w:firstLine="480"/>
      </w:pPr>
      <w:r>
        <w:rPr>
          <w:rFonts w:ascii="Times New Roman" w:hAnsi="Times New Roman" w:eastAsia="宋体"/>
          <w:b w:val="0"/>
          <w:sz w:val="24"/>
        </w:rPr>
        <w:t>一次完整任务的执行时序是：接收目标后先下发第一个进度事件，再进入模型调用；工具链按顺序推进，策略草稿先过 Policy Gateway，命中阻断级规则时被强制改写为合规版本，同时清除该违规话术在模拟中的情绪放大通道，随后才进入群体行为模拟；最后生成结构化报告与反思摘要，候选技能进入人工审批队列。</w:t>
      </w:r>
    </w:p>
    <w:p>
      <w:pPr>
        <w:spacing w:before="160" w:after="40"/>
        <w:jc w:val="center"/>
      </w:pPr>
      <w:r>
        <w:drawing>
          <wp:inline xmlns:a="http://schemas.openxmlformats.org/drawingml/2006/main" xmlns:pic="http://schemas.openxmlformats.org/drawingml/2006/picture">
            <wp:extent cx="5616000" cy="3088800"/>
            <wp:docPr id="2" name="Picture 2"/>
            <wp:cNvGraphicFramePr>
              <a:graphicFrameLocks noChangeAspect="1"/>
            </wp:cNvGraphicFramePr>
            <a:graphic>
              <a:graphicData uri="http://schemas.openxmlformats.org/drawingml/2006/picture">
                <pic:pic>
                  <pic:nvPicPr>
                    <pic:cNvPr id="0" name="02-Agent-Loop时序.png"/>
                    <pic:cNvPicPr/>
                  </pic:nvPicPr>
                  <pic:blipFill>
                    <a:blip r:embed="rId10"/>
                    <a:stretch>
                      <a:fillRect/>
                    </a:stretch>
                  </pic:blipFill>
                  <pic:spPr>
                    <a:xfrm>
                      <a:off x="0" y="0"/>
                      <a:ext cx="5616000" cy="3088800"/>
                    </a:xfrm>
                    <a:prstGeom prst="rect"/>
                  </pic:spPr>
                </pic:pic>
              </a:graphicData>
            </a:graphic>
          </wp:inline>
        </w:drawing>
      </w:r>
    </w:p>
    <w:p>
      <w:pPr>
        <w:spacing w:after="240"/>
        <w:jc w:val="center"/>
      </w:pPr>
      <w:r>
        <w:rPr>
          <w:rFonts w:ascii="微软雅黑" w:hAnsi="微软雅黑" w:eastAsia="微软雅黑"/>
          <w:b w:val="0"/>
          <w:color w:val="475569"/>
          <w:sz w:val="21"/>
        </w:rPr>
        <w:t>图 2 Agent Loop 执行时序与 SSE 事件序列</w:t>
      </w:r>
    </w:p>
    <w:p>
      <w:pPr>
        <w:spacing w:after="120" w:line="360" w:lineRule="auto"/>
        <w:ind w:firstLine="480"/>
      </w:pPr>
      <w:r>
        <w:rPr>
          <w:rFonts w:ascii="Times New Roman" w:hAnsi="Times New Roman" w:eastAsia="宋体"/>
          <w:b w:val="0"/>
          <w:sz w:val="24"/>
        </w:rPr>
        <w:t>需要说明的是，上面这条八步链路是任务成功时的完整路径，不是写死的工作流。Planner 拿到的是目标与可用工具清单，由它决定用哪些工具、按什么顺序调用；下面的三种情形说明执行过程确实存在判断与调整。</w:t>
      </w:r>
    </w:p>
    <w:p>
      <w:pPr>
        <w:pStyle w:val="ListBullet"/>
        <w:spacing w:after="60" w:line="336" w:lineRule="auto"/>
      </w:pPr>
      <w:r>
        <w:rPr>
          <w:rFonts w:ascii="Times New Roman" w:hAnsi="Times New Roman" w:eastAsia="宋体"/>
          <w:b w:val="0"/>
          <w:sz w:val="24"/>
        </w:rPr>
        <w:t>工具可跳过：目标中不含客群限定时，Planner 不会生成客户筛选步骤；只需要看当前群体状态时，模拟与合规仍会执行，但报告步骤可以省略汇总以外的章节。工具序列因此不是恒定八步。</w:t>
      </w:r>
    </w:p>
    <w:p>
      <w:pPr>
        <w:pStyle w:val="ListBullet"/>
        <w:spacing w:after="60" w:line="336" w:lineRule="auto"/>
      </w:pPr>
      <w:r>
        <w:rPr>
          <w:rFonts w:ascii="Times New Roman" w:hAnsi="Times New Roman" w:eastAsia="宋体"/>
          <w:b w:val="0"/>
          <w:sz w:val="24"/>
        </w:rPr>
        <w:t>结果可触发重规划：客户筛选命中数量不足目标客群规模时，执行器不会直接报错，而是按回撤从高到低补足，并在界面与审计中标注命中不足与补足数量；该情形下筛选步骤的审计状态标为待确认，而不是已完成。</w:t>
      </w:r>
    </w:p>
    <w:p>
      <w:pPr>
        <w:pStyle w:val="ListBullet"/>
        <w:spacing w:after="60" w:line="336" w:lineRule="auto"/>
      </w:pPr>
      <w:r>
        <w:rPr>
          <w:rFonts w:ascii="Times New Roman" w:hAnsi="Times New Roman" w:eastAsia="宋体"/>
          <w:b w:val="0"/>
          <w:sz w:val="24"/>
        </w:rPr>
        <w:t>失败可回退重试：合规审查命中阻断级规则时，策略草稿被改写为合规版本并重新进入检查；单个步骤调用超时会按指数退避重试，上限两次。若模型输出格式不合格，规划结果退回内置模板并记录降级原因，任务继续而不是中断。</w:t>
      </w:r>
    </w:p>
    <w:p>
      <w:pPr>
        <w:spacing w:after="120" w:line="360" w:lineRule="auto"/>
        <w:ind w:firstLine="480"/>
      </w:pPr>
      <w:r>
        <w:rPr>
          <w:rFonts w:ascii="Times New Roman" w:hAnsi="Times New Roman" w:eastAsia="宋体"/>
          <w:b w:val="0"/>
          <w:sz w:val="24"/>
        </w:rPr>
        <w:t>上述分支在审计轨迹中留有痕迹：每一步记录状态（已完成、待确认、已拦截）与真实时间戳，重试会单独产生 step.failed 事件。评委可以据此区分「按计划执行」与「执行过程中改变了计划」。</w:t>
      </w:r>
    </w:p>
    <w:p>
      <w:pPr>
        <w:spacing w:before="200" w:after="120"/>
      </w:pPr>
      <w:r>
        <w:rPr>
          <w:rFonts w:ascii="微软雅黑" w:hAnsi="微软雅黑" w:eastAsia="微软雅黑"/>
          <w:b/>
          <w:color w:val="1E3A8A"/>
          <w:sz w:val="27"/>
        </w:rPr>
        <w:t>3.3 五层链路</w:t>
      </w:r>
    </w:p>
    <w:p>
      <w:pPr>
        <w:spacing w:after="120" w:line="360" w:lineRule="auto"/>
        <w:ind w:firstLine="480"/>
      </w:pPr>
      <w:r>
        <w:rPr>
          <w:rFonts w:ascii="Times New Roman" w:hAnsi="Times New Roman" w:eastAsia="宋体"/>
          <w:b w:val="0"/>
          <w:sz w:val="24"/>
        </w:rPr>
        <w:t>从数据到技能沉淀的产品链路共五层。真实客户画像层把脱敏的交易、持仓、服务记录与反馈沉淀为分群口径；虚拟客户生成层按画像聚类生成五类原型客户；策略模拟层输入候选策略并按时间步推演群体反应；合规边界层执行适当性校验与强制拦截；反思进化层把真实服务结果回流用于校准，并把优秀的编排沉淀为可复用技能。当前第五层的回流依赖真实数据，在数据到位前以人工反馈与候选技能的形式部分实现。</w:t>
      </w:r>
    </w:p>
    <w:p>
      <w:pPr>
        <w:spacing w:before="160" w:after="40"/>
        <w:jc w:val="center"/>
      </w:pPr>
      <w:r>
        <w:drawing>
          <wp:inline xmlns:a="http://schemas.openxmlformats.org/drawingml/2006/main" xmlns:pic="http://schemas.openxmlformats.org/drawingml/2006/picture">
            <wp:extent cx="5616000" cy="1961753"/>
            <wp:docPr id="3" name="Picture 3"/>
            <wp:cNvGraphicFramePr>
              <a:graphicFrameLocks noChangeAspect="1"/>
            </wp:cNvGraphicFramePr>
            <a:graphic>
              <a:graphicData uri="http://schemas.openxmlformats.org/drawingml/2006/picture">
                <pic:pic>
                  <pic:nvPicPr>
                    <pic:cNvPr id="0" name="03-五层链路.png"/>
                    <pic:cNvPicPr/>
                  </pic:nvPicPr>
                  <pic:blipFill>
                    <a:blip r:embed="rId11"/>
                    <a:stretch>
                      <a:fillRect/>
                    </a:stretch>
                  </pic:blipFill>
                  <pic:spPr>
                    <a:xfrm>
                      <a:off x="0" y="0"/>
                      <a:ext cx="5616000" cy="1961753"/>
                    </a:xfrm>
                    <a:prstGeom prst="rect"/>
                  </pic:spPr>
                </pic:pic>
              </a:graphicData>
            </a:graphic>
          </wp:inline>
        </w:drawing>
      </w:r>
    </w:p>
    <w:p>
      <w:pPr>
        <w:spacing w:after="240"/>
        <w:jc w:val="center"/>
      </w:pPr>
      <w:r>
        <w:rPr>
          <w:rFonts w:ascii="微软雅黑" w:hAnsi="微软雅黑" w:eastAsia="微软雅黑"/>
          <w:b w:val="0"/>
          <w:color w:val="475569"/>
          <w:sz w:val="21"/>
        </w:rPr>
        <w:t>图 3 从真实画像到技能沉淀的五层链路</w:t>
      </w:r>
    </w:p>
    <w:p>
      <w:pPr>
        <w:spacing w:before="200" w:after="120"/>
      </w:pPr>
      <w:r>
        <w:rPr>
          <w:rFonts w:ascii="微软雅黑" w:hAnsi="微软雅黑" w:eastAsia="微软雅黑"/>
          <w:b/>
          <w:color w:val="1E3A8A"/>
          <w:sz w:val="27"/>
        </w:rPr>
        <w:t>3.4 群体行为模拟的数学模型</w:t>
      </w:r>
    </w:p>
    <w:p>
      <w:pPr>
        <w:spacing w:after="120" w:line="360" w:lineRule="auto"/>
        <w:ind w:firstLine="480"/>
      </w:pPr>
      <w:r>
        <w:rPr>
          <w:rFonts w:ascii="Times New Roman" w:hAnsi="Times New Roman" w:eastAsia="宋体"/>
          <w:b w:val="0"/>
          <w:sz w:val="24"/>
        </w:rPr>
        <w:t>本节给出引擎的完整计算过程。前几节说明的是模块之间怎么连接，真正决定数值结果的是这里的计算。整体顺序是：读取场景参数 → 筛选目标客户 → 生成初始状态 → 建立关系网络 → 按时间步循环更新 → 换算行为倾向并汇总成群体指标与干预队列。以下记客户 i 在第 t 个时间步的恐慌为 p_i(t)，场景跌幅的绝对值为 s，涉及的六项心理参数分别为损失厌恶 λ、从众敏感度 h、收益追求 a、投资纪律 d、长期耐心 k 与机构信任 trust，取值均在 0 到 1 之间。</w:t>
      </w:r>
    </w:p>
    <w:p>
      <w:pPr>
        <w:spacing w:after="120" w:line="360" w:lineRule="auto"/>
        <w:ind w:firstLine="480"/>
      </w:pPr>
      <w:r>
        <w:rPr>
          <w:rFonts w:ascii="Times New Roman" w:hAnsi="Times New Roman" w:eastAsia="宋体"/>
          <w:b w:val="0"/>
          <w:sz w:val="24"/>
        </w:rPr>
        <w:t>第一步是把市场跌幅落到每个客户身上。系统不让所有客户承受同一个跌幅，而是先由心理特征与所持产品算出各自的持仓弹性，再据此得到回撤。</w:t>
      </w:r>
    </w:p>
    <w:p>
      <w:pPr>
        <w:spacing w:before="160" w:after="60"/>
      </w:pPr>
      <w:r>
        <w:rPr>
          <w:rFonts w:ascii="微软雅黑" w:hAnsi="微软雅黑" w:eastAsia="微软雅黑"/>
          <w:b/>
          <w:color w:val="1E3A8A"/>
          <w:sz w:val="22"/>
        </w:rPr>
        <w:t>① 持仓弹性与个体回撤</w:t>
      </w:r>
    </w:p>
    <w:tbl>
      <w:tblPr>
        <w:tblW w:type="auto" w:w="0"/>
        <w:jc w:val="center"/>
        <w:tblLook w:firstColumn="1" w:firstRow="1" w:lastColumn="0" w:lastRow="0" w:noHBand="0" w:noVBand="1" w:val="04A0"/>
      </w:tblPr>
      <w:tblGrid>
        <w:gridCol w:w="8732"/>
      </w:tblGrid>
      <w:tr>
        <w:tc>
          <w:tcPr>
            <w:tcW w:type="dxa" w:w="8732"/>
            <w:shd w:val="clear" w:color="auto" w:fill="F3F6FB"/>
          </w:tcPr>
          <w:p>
            <w:pPr>
              <w:spacing w:after="40" w:line="324" w:lineRule="auto"/>
            </w:pPr>
            <w:r>
              <w:rPr>
                <w:rFonts w:ascii="Consolas" w:hAnsi="Consolas" w:eastAsia="宋体"/>
                <w:b w:val="0"/>
                <w:color w:val="111827"/>
                <w:sz w:val="21"/>
              </w:rPr>
              <w:t>β_i = clamp( 0.62 + 0.42·aᵢ + 0.24·hᵢ − 0.16·dᵢ + 0.55·(vᵢ − 1) + ηᵢ , 0.35 , 1.9 )</w:t>
            </w:r>
          </w:p>
          <w:p>
            <w:pPr>
              <w:spacing w:after="40" w:line="324" w:lineRule="auto"/>
            </w:pPr>
            <w:r>
              <w:rPr>
                <w:rFonts w:ascii="Consolas" w:hAnsi="Consolas" w:eastAsia="宋体"/>
                <w:b w:val="0"/>
                <w:color w:val="111827"/>
                <w:sz w:val="21"/>
              </w:rPr>
              <w:t>DDᵢ = clamp( s × 100 × βᵢ + ξᵢ , 0.4 , 45 )</w:t>
            </w:r>
          </w:p>
        </w:tc>
      </w:tr>
    </w:tbl>
    <w:p>
      <w:pPr>
        <w:spacing w:before="60" w:after="200"/>
      </w:pPr>
      <w:r>
        <w:rPr>
          <w:rFonts w:ascii="Times New Roman" w:hAnsi="Times New Roman" w:eastAsia="宋体"/>
          <w:b w:val="0"/>
          <w:color w:val="555F70"/>
          <w:sz w:val="20"/>
        </w:rPr>
        <w:t>vᵢ 为该客户所持产品的波动系数，ηᵢ、ξᵢ 是按随机种子生成的个体扰动。含义是：市场跌 1%，这位客户实际承受多少，由他自己的收益追求、从众倾向、纪律水平决定，再叠加产品本身的波动。同一个客户在不同行情下跌幅成比例；同一场行情下不同客户跌幅不同。</w:t>
      </w:r>
    </w:p>
    <w:p>
      <w:pPr>
        <w:spacing w:after="120" w:line="360" w:lineRule="auto"/>
        <w:ind w:firstLine="480"/>
      </w:pPr>
      <w:r>
        <w:rPr>
          <w:rFonts w:ascii="Times New Roman" w:hAnsi="Times New Roman" w:eastAsia="宋体"/>
          <w:b w:val="0"/>
          <w:sz w:val="24"/>
        </w:rPr>
        <w:t>第二步是初始状态。客户在行情开始前已有一定恐慌，并在此后按时间步演化。</w:t>
      </w:r>
    </w:p>
    <w:p>
      <w:pPr>
        <w:spacing w:before="160" w:after="60"/>
      </w:pPr>
      <w:r>
        <w:rPr>
          <w:rFonts w:ascii="微软雅黑" w:hAnsi="微软雅黑" w:eastAsia="微软雅黑"/>
          <w:b/>
          <w:color w:val="1E3A8A"/>
          <w:sz w:val="22"/>
        </w:rPr>
        <w:t>② 初始恐慌与冲击落地</w:t>
      </w:r>
    </w:p>
    <w:tbl>
      <w:tblPr>
        <w:tblW w:type="auto" w:w="0"/>
        <w:jc w:val="center"/>
        <w:tblLook w:firstColumn="1" w:firstRow="1" w:lastColumn="0" w:lastRow="0" w:noHBand="0" w:noVBand="1" w:val="04A0"/>
      </w:tblPr>
      <w:tblGrid>
        <w:gridCol w:w="8732"/>
      </w:tblGrid>
      <w:tr>
        <w:tc>
          <w:tcPr>
            <w:tcW w:type="dxa" w:w="8732"/>
            <w:shd w:val="clear" w:color="auto" w:fill="F3F6FB"/>
          </w:tcPr>
          <w:p>
            <w:pPr>
              <w:spacing w:after="40" w:line="324" w:lineRule="auto"/>
            </w:pPr>
            <w:r>
              <w:rPr>
                <w:rFonts w:ascii="Consolas" w:hAnsi="Consolas" w:eastAsia="宋体"/>
                <w:b w:val="0"/>
                <w:color w:val="111827"/>
                <w:sz w:val="21"/>
              </w:rPr>
              <w:t>pᵢ(0) = clamp( 0.1 + 0.35·λᵢ + 0.12·hᵢ + DDᵢ/100 − 0.18·dᵢ )</w:t>
            </w:r>
          </w:p>
          <w:p>
            <w:pPr>
              <w:spacing w:after="40" w:line="324" w:lineRule="auto"/>
            </w:pPr>
            <w:r>
              <w:rPr>
                <w:rFonts w:ascii="Consolas" w:hAnsi="Consolas" w:eastAsia="宋体"/>
                <w:b w:val="0"/>
                <w:color w:val="111827"/>
                <w:sz w:val="21"/>
              </w:rPr>
              <w:t>pᵢ ← clamp( 0.42·pᵢ(0) + s·(0.72 + 0.78·λᵢ) − 0.05·dᵢ )</w:t>
            </w:r>
          </w:p>
        </w:tc>
      </w:tr>
    </w:tbl>
    <w:p>
      <w:pPr>
        <w:spacing w:before="60" w:after="200"/>
      </w:pPr>
      <w:r>
        <w:rPr>
          <w:rFonts w:ascii="Times New Roman" w:hAnsi="Times New Roman" w:eastAsia="宋体"/>
          <w:b w:val="0"/>
          <w:color w:val="555F70"/>
          <w:sz w:val="20"/>
        </w:rPr>
        <w:t>第二行表示行情冲击真正打进来的那一步：原有恐慌只留 42%，主体来自按损失厌恶加权的市场冲击。</w:t>
      </w:r>
    </w:p>
    <w:p>
      <w:pPr>
        <w:spacing w:after="120" w:line="360" w:lineRule="auto"/>
        <w:ind w:firstLine="480"/>
      </w:pPr>
      <w:r>
        <w:rPr>
          <w:rFonts w:ascii="Times New Roman" w:hAnsi="Times New Roman" w:eastAsia="宋体"/>
          <w:b w:val="0"/>
          <w:sz w:val="24"/>
        </w:rPr>
        <w:t>第三步进入时间步循环。每一步先计算当步的行情压力，再计算邻居传导，最后合成新的恐慌。</w:t>
      </w:r>
    </w:p>
    <w:p>
      <w:pPr>
        <w:spacing w:before="160" w:after="60"/>
      </w:pPr>
      <w:r>
        <w:rPr>
          <w:rFonts w:ascii="微软雅黑" w:hAnsi="微软雅黑" w:eastAsia="微软雅黑"/>
          <w:b/>
          <w:color w:val="1E3A8A"/>
          <w:sz w:val="22"/>
        </w:rPr>
        <w:t>③ 当步行情压力</w:t>
      </w:r>
    </w:p>
    <w:tbl>
      <w:tblPr>
        <w:tblW w:type="auto" w:w="0"/>
        <w:jc w:val="center"/>
        <w:tblLook w:firstColumn="1" w:firstRow="1" w:lastColumn="0" w:lastRow="0" w:noHBand="0" w:noVBand="1" w:val="04A0"/>
      </w:tblPr>
      <w:tblGrid>
        <w:gridCol w:w="8732"/>
      </w:tblGrid>
      <w:tr>
        <w:tc>
          <w:tcPr>
            <w:tcW w:type="dxa" w:w="8732"/>
            <w:shd w:val="clear" w:color="auto" w:fill="F3F6FB"/>
          </w:tcPr>
          <w:p>
            <w:pPr>
              <w:spacing w:after="40" w:line="324" w:lineRule="auto"/>
            </w:pPr>
            <w:r>
              <w:rPr>
                <w:rFonts w:ascii="Consolas" w:hAnsi="Consolas" w:eastAsia="宋体"/>
                <w:b w:val="0"/>
                <w:color w:val="111827"/>
                <w:sz w:val="21"/>
              </w:rPr>
              <w:t>S(t) = ( 0.095 + 0.82·s ) × shape( H , t/(T−1) )</w:t>
            </w:r>
          </w:p>
          <w:p>
            <w:pPr>
              <w:spacing w:after="40" w:line="324" w:lineRule="auto"/>
            </w:pPr>
            <w:r>
              <w:rPr>
                <w:rFonts w:ascii="Consolas" w:hAnsi="Consolas" w:eastAsia="宋体"/>
                <w:b w:val="0"/>
                <w:color w:val="111827"/>
                <w:sz w:val="21"/>
              </w:rPr>
              <w:t>shape = clamp( ln(max(H,1)/24) / ln 24 , −1 , 1 ) 的线性函数</w:t>
            </w:r>
          </w:p>
        </w:tc>
      </w:tr>
    </w:tbl>
    <w:p>
      <w:pPr>
        <w:spacing w:before="60" w:after="200"/>
      </w:pPr>
      <w:r>
        <w:rPr>
          <w:rFonts w:ascii="Times New Roman" w:hAnsi="Times New Roman" w:eastAsia="宋体"/>
          <w:b w:val="0"/>
          <w:color w:val="555F70"/>
          <w:sz w:val="20"/>
        </w:rPr>
        <w:t>H 为持续时间（小时），T 为总段数。持续时间越长，shape 越大，压力衰减越慢。需要如实说明：在该函数的取值范围内压力随步长单调递减，因此恐慌峰值恒定出现在第一段，时长的影响体现在峰值高度与衰减速度，而不是峰值位置。</w:t>
      </w:r>
    </w:p>
    <w:p>
      <w:pPr>
        <w:spacing w:before="160" w:after="60"/>
      </w:pPr>
      <w:r>
        <w:rPr>
          <w:rFonts w:ascii="微软雅黑" w:hAnsi="微软雅黑" w:eastAsia="微软雅黑"/>
          <w:b/>
          <w:color w:val="1E3A8A"/>
          <w:sz w:val="22"/>
        </w:rPr>
        <w:t>④ 邻居情绪传导</w:t>
      </w:r>
    </w:p>
    <w:tbl>
      <w:tblPr>
        <w:tblW w:type="auto" w:w="0"/>
        <w:jc w:val="center"/>
        <w:tblLook w:firstColumn="1" w:firstRow="1" w:lastColumn="0" w:lastRow="0" w:noHBand="0" w:noVBand="1" w:val="04A0"/>
      </w:tblPr>
      <w:tblGrid>
        <w:gridCol w:w="8732"/>
      </w:tblGrid>
      <w:tr>
        <w:tc>
          <w:tcPr>
            <w:tcW w:type="dxa" w:w="8732"/>
            <w:shd w:val="clear" w:color="auto" w:fill="F3F6FB"/>
          </w:tcPr>
          <w:p>
            <w:pPr>
              <w:spacing w:after="40" w:line="324" w:lineRule="auto"/>
            </w:pPr>
            <w:r>
              <w:rPr>
                <w:rFonts w:ascii="Consolas" w:hAnsi="Consolas" w:eastAsia="宋体"/>
                <w:b w:val="0"/>
                <w:color w:val="111827"/>
                <w:sz w:val="21"/>
              </w:rPr>
              <w:t>Cᵢ(t) = [ Σⱼ wᵢⱼ·pⱼ(t−1) / Σⱼ wᵢⱼ ] × hᵢ × ( 0.16 + 0.55·s )</w:t>
            </w:r>
          </w:p>
        </w:tc>
      </w:tr>
    </w:tbl>
    <w:p>
      <w:pPr>
        <w:spacing w:before="60" w:after="200"/>
      </w:pPr>
      <w:r>
        <w:rPr>
          <w:rFonts w:ascii="Times New Roman" w:hAnsi="Times New Roman" w:eastAsia="宋体"/>
          <w:b w:val="0"/>
          <w:color w:val="555F70"/>
          <w:sz w:val="20"/>
        </w:rPr>
        <w:t>wᵢⱼ 是客户 i 与 j 之间的三类关系权重：相似性 0.72、社交影响 1.0、统一服务触达 0.42 至 0.58。括号内一项表示行情跌得越深，情绪传导越快。这一项是「从众效应」在模型中的具体形式，也是本项目区别于单客户画像工具的关键所在。</w:t>
      </w:r>
    </w:p>
    <w:p>
      <w:pPr>
        <w:spacing w:before="160" w:after="60"/>
      </w:pPr>
      <w:r>
        <w:rPr>
          <w:rFonts w:ascii="微软雅黑" w:hAnsi="微软雅黑" w:eastAsia="微软雅黑"/>
          <w:b/>
          <w:color w:val="1E3A8A"/>
          <w:sz w:val="22"/>
        </w:rPr>
        <w:t>⑤ 逐时间步恐慌更新</w:t>
      </w:r>
    </w:p>
    <w:tbl>
      <w:tblPr>
        <w:tblW w:type="auto" w:w="0"/>
        <w:jc w:val="center"/>
        <w:tblLook w:firstColumn="1" w:firstRow="1" w:lastColumn="0" w:lastRow="0" w:noHBand="0" w:noVBand="1" w:val="04A0"/>
      </w:tblPr>
      <w:tblGrid>
        <w:gridCol w:w="8732"/>
      </w:tblGrid>
      <w:tr>
        <w:tc>
          <w:tcPr>
            <w:tcW w:type="dxa" w:w="8732"/>
            <w:shd w:val="clear" w:color="auto" w:fill="F3F6FB"/>
          </w:tcPr>
          <w:p>
            <w:pPr>
              <w:spacing w:after="40" w:line="324" w:lineRule="auto"/>
            </w:pPr>
            <w:r>
              <w:rPr>
                <w:rFonts w:ascii="Consolas" w:hAnsi="Consolas" w:eastAsia="宋体"/>
                <w:b w:val="0"/>
                <w:color w:val="111827"/>
                <w:sz w:val="21"/>
              </w:rPr>
              <w:t>pᵢ(t) = clamp( 0.56·pᵢ(t−1) + S(t)·λᵢ + Cᵢ(t) + Aᵢ(t) + Wᵢ(t) − Bᵢ(t) − 0.09·dᵢ − 0.045·kᵢ + εᵢ )</w:t>
            </w:r>
          </w:p>
        </w:tc>
      </w:tr>
    </w:tbl>
    <w:p>
      <w:pPr>
        <w:spacing w:before="60" w:after="200"/>
      </w:pPr>
      <w:r>
        <w:rPr>
          <w:rFonts w:ascii="Times New Roman" w:hAnsi="Times New Roman" w:eastAsia="宋体"/>
          <w:b w:val="0"/>
          <w:color w:val="555F70"/>
          <w:sz w:val="20"/>
        </w:rPr>
        <w:t>七项含义：0.56 是上一段恐慌的留存比例（对应记忆层）；S(t)·λᵢ 是按损失厌恶加权的市场压力；Cᵢ(t) 是邻居传导；Aᵢ(t) 是广播式沟通引起的额外警觉；Wᵢ(t) 是主动触达本身惊动平静客户的唤醒效应；Bᵢ(t) 是主动沟通的安抚；投资纪律与长期耐心起自我抑制作用；εᵢ 是幅度 ±0.0175 的随机扰动。</w:t>
      </w:r>
    </w:p>
    <w:p>
      <w:pPr>
        <w:spacing w:after="120" w:line="360" w:lineRule="auto"/>
        <w:ind w:firstLine="480"/>
      </w:pPr>
      <w:r>
        <w:rPr>
          <w:rFonts w:ascii="Times New Roman" w:hAnsi="Times New Roman" w:eastAsia="宋体"/>
          <w:b w:val="0"/>
          <w:sz w:val="24"/>
        </w:rPr>
        <w:t>第四步把恐慌换算成可执行的行为倾向。四项倾向都用 logistic 函数把线性组合压缩到 0 到 1 之间。</w:t>
      </w:r>
    </w:p>
    <w:p>
      <w:pPr>
        <w:spacing w:before="160" w:after="60"/>
      </w:pPr>
      <w:r>
        <w:rPr>
          <w:rFonts w:ascii="微软雅黑" w:hAnsi="微软雅黑" w:eastAsia="微软雅黑"/>
          <w:b/>
          <w:color w:val="1E3A8A"/>
          <w:sz w:val="22"/>
        </w:rPr>
        <w:t>⑥ 行为倾向换算</w:t>
      </w:r>
    </w:p>
    <w:tbl>
      <w:tblPr>
        <w:tblW w:type="auto" w:w="0"/>
        <w:jc w:val="center"/>
        <w:tblLook w:firstColumn="1" w:firstRow="1" w:lastColumn="0" w:lastRow="0" w:noHBand="0" w:noVBand="1" w:val="04A0"/>
      </w:tblPr>
      <w:tblGrid>
        <w:gridCol w:w="8732"/>
      </w:tblGrid>
      <w:tr>
        <w:tc>
          <w:tcPr>
            <w:tcW w:type="dxa" w:w="8732"/>
            <w:shd w:val="clear" w:color="auto" w:fill="F3F6FB"/>
          </w:tcPr>
          <w:p>
            <w:pPr>
              <w:spacing w:after="40" w:line="324" w:lineRule="auto"/>
            </w:pPr>
            <w:r>
              <w:rPr>
                <w:rFonts w:ascii="Consolas" w:hAnsi="Consolas" w:eastAsia="宋体"/>
                <w:b w:val="0"/>
                <w:color w:val="111827"/>
                <w:sz w:val="21"/>
              </w:rPr>
              <w:t>sellᵢ    = clamp( σ( (pᵢ − 0.58)·5.2 + 0.7·hᵢ − 1.1·dᵢ ) )</w:t>
            </w:r>
          </w:p>
          <w:p>
            <w:pPr>
              <w:spacing w:after="40" w:line="324" w:lineRule="auto"/>
            </w:pPr>
            <w:r>
              <w:rPr>
                <w:rFonts w:ascii="Consolas" w:hAnsi="Consolas" w:eastAsia="宋体"/>
                <w:b w:val="0"/>
                <w:color w:val="111827"/>
                <w:sz w:val="21"/>
              </w:rPr>
              <w:t>buyᵢ     = clamp( σ( (0.34 − pᵢ)·4.4 + 1.2·aᵢ + 0.35·trustᵢ ) × 0.58 )</w:t>
            </w:r>
          </w:p>
          <w:p>
            <w:pPr>
              <w:spacing w:after="40" w:line="324" w:lineRule="auto"/>
            </w:pPr>
            <w:r>
              <w:rPr>
                <w:rFonts w:ascii="Consolas" w:hAnsi="Consolas" w:eastAsia="宋体"/>
                <w:b w:val="0"/>
                <w:color w:val="111827"/>
                <w:sz w:val="21"/>
              </w:rPr>
              <w:t>holdᵢ    = clamp( 1 − buyᵢ − sellᵢ )</w:t>
            </w:r>
          </w:p>
          <w:p>
            <w:pPr>
              <w:spacing w:after="40" w:line="324" w:lineRule="auto"/>
            </w:pPr>
            <w:r>
              <w:rPr>
                <w:rFonts w:ascii="Consolas" w:hAnsi="Consolas" w:eastAsia="宋体"/>
                <w:b w:val="0"/>
                <w:color w:val="111827"/>
                <w:sz w:val="21"/>
              </w:rPr>
              <w:t>consultᵢ = clamp( σ( (pᵢ − 0.32)·3.4 + 0.65·trustᵢ − 0.25·dᵢ ) × 0.72 )</w:t>
            </w:r>
          </w:p>
          <w:p>
            <w:pPr>
              <w:spacing w:after="40" w:line="324" w:lineRule="auto"/>
            </w:pPr>
            <w:r>
              <w:rPr>
                <w:rFonts w:ascii="Consolas" w:hAnsi="Consolas" w:eastAsia="宋体"/>
                <w:b w:val="0"/>
                <w:color w:val="111827"/>
                <w:sz w:val="21"/>
              </w:rPr>
              <w:t>complaintᵢ = clamp( σ( (pᵢ − 0.62)·4.2 − 2.3·trustᵢ + 7·tone ) × 0.42 )</w:t>
            </w:r>
          </w:p>
          <w:p>
            <w:pPr>
              <w:spacing w:after="40" w:line="324" w:lineRule="auto"/>
            </w:pPr>
            <w:r>
              <w:rPr>
                <w:rFonts w:ascii="Consolas" w:hAnsi="Consolas" w:eastAsia="宋体"/>
                <w:b w:val="0"/>
                <w:color w:val="111827"/>
                <w:sz w:val="21"/>
              </w:rPr>
              <w:t>churnᵢ     = clamp( σ( (0.45 − trustᵢ)·5 + 2.2·complaintᵢ ) × 0.38 )</w:t>
            </w:r>
          </w:p>
        </w:tc>
      </w:tr>
    </w:tbl>
    <w:p>
      <w:pPr>
        <w:spacing w:before="60" w:after="200"/>
      </w:pPr>
      <w:r>
        <w:rPr>
          <w:rFonts w:ascii="Times New Roman" w:hAnsi="Times New Roman" w:eastAsia="宋体"/>
          <w:b w:val="0"/>
          <w:color w:val="555F70"/>
          <w:sz w:val="20"/>
        </w:rPr>
        <w:t>σ 为 logistic 函数。买入、持有、卖出三项恒之和为 1，因此三者可以直接比较。tone 为该策略话术的刺激强度，若草稿被合规拦截则置零。投诉与流失由恐慌和信任共同决定，不单独受话术影响。</w:t>
      </w:r>
    </w:p>
    <w:p>
      <w:pPr>
        <w:spacing w:after="120" w:line="360" w:lineRule="auto"/>
        <w:ind w:firstLine="480"/>
      </w:pPr>
      <w:r>
        <w:rPr>
          <w:rFonts w:ascii="Times New Roman" w:hAnsi="Times New Roman" w:eastAsia="宋体"/>
          <w:b w:val="0"/>
          <w:sz w:val="24"/>
        </w:rPr>
        <w:t>最后是汇总。每个时间步结束后对所有客户取均值，得到该步的群体恐慌、卖出、投诉、流失、信任、触达覆盖与传播强度；同时逐客户记录整个模拟期内的峰值暴露（peakRisk 及其所在段），用于生成干预队列，而不是用期末状态排序——因为干预生效后期末状态会普遍回落，按期末值排序会得到一份人人低风险的名单。</w:t>
      </w:r>
    </w:p>
    <w:p>
      <w:pPr>
        <w:spacing w:before="200" w:after="120"/>
      </w:pPr>
      <w:r>
        <w:rPr>
          <w:rFonts w:ascii="微软雅黑" w:hAnsi="微软雅黑" w:eastAsia="微软雅黑"/>
          <w:b/>
          <w:color w:val="1E3A8A"/>
          <w:sz w:val="27"/>
        </w:rPr>
        <w:t>3.4.1 六项心理参数：含义、取值与校准</w:t>
      </w:r>
    </w:p>
    <w:p>
      <w:pPr>
        <w:spacing w:after="120" w:line="360" w:lineRule="auto"/>
        <w:ind w:firstLine="480"/>
      </w:pPr>
      <w:r>
        <w:rPr>
          <w:rFonts w:ascii="Times New Roman" w:hAnsi="Times New Roman" w:eastAsia="宋体"/>
          <w:b w:val="0"/>
          <w:sz w:val="24"/>
        </w:rPr>
        <w:t>六项心理参数是引擎的行为输入，它们决定每位客户对同一场行情作出多大反应。当前取值来自五类客户原型，同原型内再叠加 ±0.08 的个体抖动，保证同类客户之间仍有差异。</w:t>
      </w:r>
    </w:p>
    <w:tbl>
      <w:tblPr>
        <w:tblStyle w:val="TableGrid"/>
        <w:tblW w:type="auto" w:w="0"/>
        <w:jc w:val="center"/>
        <w:tblLook w:firstColumn="1" w:firstRow="1" w:lastColumn="0" w:lastRow="0" w:noHBand="0" w:noVBand="1" w:val="04A0"/>
      </w:tblPr>
      <w:tblGrid>
        <w:gridCol w:w="2183"/>
        <w:gridCol w:w="2183"/>
        <w:gridCol w:w="2183"/>
        <w:gridCol w:w="2183"/>
      </w:tblGrid>
      <w:tr>
        <w:tc>
          <w:tcPr>
            <w:tcW w:type="dxa" w:w="1247"/>
          </w:tcPr>
          <w:p>
            <w:pPr>
              <w:jc w:val="center"/>
            </w:pPr>
            <w:r/>
            <w:r>
              <w:rPr>
                <w:rFonts w:ascii="微软雅黑" w:hAnsi="微软雅黑" w:eastAsia="微软雅黑"/>
                <w:b/>
                <w:sz w:val="21"/>
              </w:rPr>
              <w:t>参数</w:t>
            </w:r>
          </w:p>
        </w:tc>
        <w:tc>
          <w:tcPr>
            <w:tcW w:type="dxa" w:w="2268"/>
          </w:tcPr>
          <w:p>
            <w:pPr>
              <w:jc w:val="center"/>
            </w:pPr>
            <w:r/>
            <w:r>
              <w:rPr>
                <w:rFonts w:ascii="微软雅黑" w:hAnsi="微软雅黑" w:eastAsia="微软雅黑"/>
                <w:b/>
                <w:sz w:val="21"/>
              </w:rPr>
              <w:t>主要影响</w:t>
            </w:r>
          </w:p>
        </w:tc>
        <w:tc>
          <w:tcPr>
            <w:tcW w:type="dxa" w:w="2494"/>
          </w:tcPr>
          <w:p>
            <w:pPr>
              <w:jc w:val="center"/>
            </w:pPr>
            <w:r/>
            <w:r>
              <w:rPr>
                <w:rFonts w:ascii="微软雅黑" w:hAnsi="微软雅黑" w:eastAsia="微软雅黑"/>
                <w:b/>
                <w:sz w:val="21"/>
              </w:rPr>
              <w:t>当前取值来源</w:t>
            </w:r>
          </w:p>
        </w:tc>
        <w:tc>
          <w:tcPr>
            <w:tcW w:type="dxa" w:w="2835"/>
          </w:tcPr>
          <w:p>
            <w:pPr>
              <w:jc w:val="center"/>
            </w:pPr>
            <w:r/>
            <w:r>
              <w:rPr>
                <w:rFonts w:ascii="微软雅黑" w:hAnsi="微软雅黑" w:eastAsia="微软雅黑"/>
                <w:b/>
                <w:sz w:val="21"/>
              </w:rPr>
              <w:t>真实数据接入后的校准方式</w:t>
            </w:r>
          </w:p>
        </w:tc>
      </w:tr>
      <w:tr>
        <w:tc>
          <w:tcPr>
            <w:tcW w:type="dxa" w:w="1247"/>
          </w:tcPr>
          <w:p>
            <w:pPr>
              <w:jc w:val="left"/>
            </w:pPr>
            <w:r/>
            <w:r>
              <w:rPr>
                <w:rFonts w:ascii="Times New Roman" w:hAnsi="Times New Roman" w:eastAsia="宋体"/>
                <w:b w:val="0"/>
                <w:sz w:val="21"/>
              </w:rPr>
              <w:t>损失厌恶 λ</w:t>
            </w:r>
          </w:p>
        </w:tc>
        <w:tc>
          <w:tcPr>
            <w:tcW w:type="dxa" w:w="2268"/>
          </w:tcPr>
          <w:p>
            <w:pPr>
              <w:jc w:val="center"/>
            </w:pPr>
            <w:r/>
            <w:r>
              <w:rPr>
                <w:rFonts w:ascii="Times New Roman" w:hAnsi="Times New Roman" w:eastAsia="宋体"/>
                <w:b w:val="0"/>
                <w:sz w:val="21"/>
              </w:rPr>
              <w:t>市场压力加权、初始恐慌、安抚需求强度</w:t>
            </w:r>
          </w:p>
        </w:tc>
        <w:tc>
          <w:tcPr>
            <w:tcW w:type="dxa" w:w="2494"/>
          </w:tcPr>
          <w:p>
            <w:pPr>
              <w:jc w:val="center"/>
            </w:pPr>
            <w:r/>
            <w:r>
              <w:rPr>
                <w:rFonts w:ascii="Times New Roman" w:hAnsi="Times New Roman" w:eastAsia="宋体"/>
                <w:b w:val="0"/>
                <w:sz w:val="21"/>
              </w:rPr>
              <w:t>按原型设定：稳健守成型 0.84 最高，进取交易型 0.34 最低</w:t>
            </w:r>
          </w:p>
        </w:tc>
        <w:tc>
          <w:tcPr>
            <w:tcW w:type="dxa" w:w="2835"/>
          </w:tcPr>
          <w:p>
            <w:pPr>
              <w:jc w:val="center"/>
            </w:pPr>
            <w:r/>
            <w:r>
              <w:rPr>
                <w:rFonts w:ascii="Times New Roman" w:hAnsi="Times New Roman" w:eastAsia="宋体"/>
                <w:b w:val="0"/>
                <w:sz w:val="21"/>
              </w:rPr>
              <w:t>用真实客户在亏损区间内的减仓与赎回行为与亏损幅度的关系拟合</w:t>
            </w:r>
          </w:p>
        </w:tc>
      </w:tr>
      <w:tr>
        <w:tc>
          <w:tcPr>
            <w:tcW w:type="dxa" w:w="1247"/>
          </w:tcPr>
          <w:p>
            <w:pPr>
              <w:jc w:val="left"/>
            </w:pPr>
            <w:r/>
            <w:r>
              <w:rPr>
                <w:rFonts w:ascii="Times New Roman" w:hAnsi="Times New Roman" w:eastAsia="宋体"/>
                <w:b w:val="0"/>
                <w:sz w:val="21"/>
              </w:rPr>
              <w:t>从众敏感度 h</w:t>
            </w:r>
          </w:p>
        </w:tc>
        <w:tc>
          <w:tcPr>
            <w:tcW w:type="dxa" w:w="2268"/>
          </w:tcPr>
          <w:p>
            <w:pPr>
              <w:jc w:val="center"/>
            </w:pPr>
            <w:r/>
            <w:r>
              <w:rPr>
                <w:rFonts w:ascii="Times New Roman" w:hAnsi="Times New Roman" w:eastAsia="宋体"/>
                <w:b w:val="0"/>
                <w:sz w:val="21"/>
              </w:rPr>
              <w:t>邻居情绪传导强度、卖出倾向、网络影响力</w:t>
            </w:r>
          </w:p>
        </w:tc>
        <w:tc>
          <w:tcPr>
            <w:tcW w:type="dxa" w:w="2494"/>
          </w:tcPr>
          <w:p>
            <w:pPr>
              <w:jc w:val="center"/>
            </w:pPr>
            <w:r/>
            <w:r>
              <w:rPr>
                <w:rFonts w:ascii="Times New Roman" w:hAnsi="Times New Roman" w:eastAsia="宋体"/>
                <w:b w:val="0"/>
                <w:sz w:val="21"/>
              </w:rPr>
              <w:t>按原型设定：高频敏感型 0.81 最高</w:t>
            </w:r>
          </w:p>
        </w:tc>
        <w:tc>
          <w:tcPr>
            <w:tcW w:type="dxa" w:w="2835"/>
          </w:tcPr>
          <w:p>
            <w:pPr>
              <w:jc w:val="center"/>
            </w:pPr>
            <w:r/>
            <w:r>
              <w:rPr>
                <w:rFonts w:ascii="Times New Roman" w:hAnsi="Times New Roman" w:eastAsia="宋体"/>
                <w:b w:val="0"/>
                <w:sz w:val="21"/>
              </w:rPr>
              <w:t>用客户在群体性事件中的同向交易占比拟合</w:t>
            </w:r>
          </w:p>
        </w:tc>
      </w:tr>
      <w:tr>
        <w:tc>
          <w:tcPr>
            <w:tcW w:type="dxa" w:w="1247"/>
          </w:tcPr>
          <w:p>
            <w:pPr>
              <w:jc w:val="left"/>
            </w:pPr>
            <w:r/>
            <w:r>
              <w:rPr>
                <w:rFonts w:ascii="Times New Roman" w:hAnsi="Times New Roman" w:eastAsia="宋体"/>
                <w:b w:val="0"/>
                <w:sz w:val="21"/>
              </w:rPr>
              <w:t>收益追求 a</w:t>
            </w:r>
          </w:p>
        </w:tc>
        <w:tc>
          <w:tcPr>
            <w:tcW w:type="dxa" w:w="2268"/>
          </w:tcPr>
          <w:p>
            <w:pPr>
              <w:jc w:val="center"/>
            </w:pPr>
            <w:r/>
            <w:r>
              <w:rPr>
                <w:rFonts w:ascii="Times New Roman" w:hAnsi="Times New Roman" w:eastAsia="宋体"/>
                <w:b w:val="0"/>
                <w:sz w:val="21"/>
              </w:rPr>
              <w:t>持仓弹性、买入倾向</w:t>
            </w:r>
          </w:p>
        </w:tc>
        <w:tc>
          <w:tcPr>
            <w:tcW w:type="dxa" w:w="2494"/>
          </w:tcPr>
          <w:p>
            <w:pPr>
              <w:jc w:val="center"/>
            </w:pPr>
            <w:r/>
            <w:r>
              <w:rPr>
                <w:rFonts w:ascii="Times New Roman" w:hAnsi="Times New Roman" w:eastAsia="宋体"/>
                <w:b w:val="0"/>
                <w:sz w:val="21"/>
              </w:rPr>
              <w:t>按原型设定：进取交易型 0.86 最高</w:t>
            </w:r>
          </w:p>
        </w:tc>
        <w:tc>
          <w:tcPr>
            <w:tcW w:type="dxa" w:w="2835"/>
          </w:tcPr>
          <w:p>
            <w:pPr>
              <w:jc w:val="center"/>
            </w:pPr>
            <w:r/>
            <w:r>
              <w:rPr>
                <w:rFonts w:ascii="Times New Roman" w:hAnsi="Times New Roman" w:eastAsia="宋体"/>
                <w:b w:val="0"/>
                <w:sz w:val="21"/>
              </w:rPr>
              <w:t>用客户实际持仓的风险等级分布与换手率拟合</w:t>
            </w:r>
          </w:p>
        </w:tc>
      </w:tr>
      <w:tr>
        <w:tc>
          <w:tcPr>
            <w:tcW w:type="dxa" w:w="1247"/>
          </w:tcPr>
          <w:p>
            <w:pPr>
              <w:jc w:val="left"/>
            </w:pPr>
            <w:r/>
            <w:r>
              <w:rPr>
                <w:rFonts w:ascii="Times New Roman" w:hAnsi="Times New Roman" w:eastAsia="宋体"/>
                <w:b w:val="0"/>
                <w:sz w:val="21"/>
              </w:rPr>
              <w:t>投资纪律 d</w:t>
            </w:r>
          </w:p>
        </w:tc>
        <w:tc>
          <w:tcPr>
            <w:tcW w:type="dxa" w:w="2268"/>
          </w:tcPr>
          <w:p>
            <w:pPr>
              <w:jc w:val="center"/>
            </w:pPr>
            <w:r/>
            <w:r>
              <w:rPr>
                <w:rFonts w:ascii="Times New Roman" w:hAnsi="Times New Roman" w:eastAsia="宋体"/>
                <w:b w:val="0"/>
                <w:sz w:val="21"/>
              </w:rPr>
              <w:t>恐慌的自我抑制、卖出倾向、持仓弹性</w:t>
            </w:r>
          </w:p>
        </w:tc>
        <w:tc>
          <w:tcPr>
            <w:tcW w:type="dxa" w:w="2494"/>
          </w:tcPr>
          <w:p>
            <w:pPr>
              <w:jc w:val="center"/>
            </w:pPr>
            <w:r/>
            <w:r>
              <w:rPr>
                <w:rFonts w:ascii="Times New Roman" w:hAnsi="Times New Roman" w:eastAsia="宋体"/>
                <w:b w:val="0"/>
                <w:sz w:val="21"/>
              </w:rPr>
              <w:t>按原型设定：稳健守成型 0.82 最高</w:t>
            </w:r>
          </w:p>
        </w:tc>
        <w:tc>
          <w:tcPr>
            <w:tcW w:type="dxa" w:w="2835"/>
          </w:tcPr>
          <w:p>
            <w:pPr>
              <w:jc w:val="center"/>
            </w:pPr>
            <w:r/>
            <w:r>
              <w:rPr>
                <w:rFonts w:ascii="Times New Roman" w:hAnsi="Times New Roman" w:eastAsia="宋体"/>
                <w:b w:val="0"/>
                <w:sz w:val="21"/>
              </w:rPr>
              <w:t>用回撤期间未发生交易的比例拟合</w:t>
            </w:r>
          </w:p>
        </w:tc>
      </w:tr>
      <w:tr>
        <w:tc>
          <w:tcPr>
            <w:tcW w:type="dxa" w:w="1247"/>
          </w:tcPr>
          <w:p>
            <w:pPr>
              <w:jc w:val="left"/>
            </w:pPr>
            <w:r/>
            <w:r>
              <w:rPr>
                <w:rFonts w:ascii="Times New Roman" w:hAnsi="Times New Roman" w:eastAsia="宋体"/>
                <w:b w:val="0"/>
                <w:sz w:val="21"/>
              </w:rPr>
              <w:t>长期耐心 k</w:t>
            </w:r>
          </w:p>
        </w:tc>
        <w:tc>
          <w:tcPr>
            <w:tcW w:type="dxa" w:w="2268"/>
          </w:tcPr>
          <w:p>
            <w:pPr>
              <w:jc w:val="center"/>
            </w:pPr>
            <w:r/>
            <w:r>
              <w:rPr>
                <w:rFonts w:ascii="Times New Roman" w:hAnsi="Times New Roman" w:eastAsia="宋体"/>
                <w:b w:val="0"/>
                <w:sz w:val="21"/>
              </w:rPr>
              <w:t>恐慌的自我抑制、沟通节奏偏好</w:t>
            </w:r>
          </w:p>
        </w:tc>
        <w:tc>
          <w:tcPr>
            <w:tcW w:type="dxa" w:w="2494"/>
          </w:tcPr>
          <w:p>
            <w:pPr>
              <w:jc w:val="center"/>
            </w:pPr>
            <w:r/>
            <w:r>
              <w:rPr>
                <w:rFonts w:ascii="Times New Roman" w:hAnsi="Times New Roman" w:eastAsia="宋体"/>
                <w:b w:val="0"/>
                <w:sz w:val="21"/>
              </w:rPr>
              <w:t>按原型设定：进取交易型 0.31 最低</w:t>
            </w:r>
          </w:p>
        </w:tc>
        <w:tc>
          <w:tcPr>
            <w:tcW w:type="dxa" w:w="2835"/>
          </w:tcPr>
          <w:p>
            <w:pPr>
              <w:jc w:val="center"/>
            </w:pPr>
            <w:r/>
            <w:r>
              <w:rPr>
                <w:rFonts w:ascii="Times New Roman" w:hAnsi="Times New Roman" w:eastAsia="宋体"/>
                <w:b w:val="0"/>
                <w:sz w:val="21"/>
              </w:rPr>
              <w:t>用客户实际持有期限分布拟合</w:t>
            </w:r>
          </w:p>
        </w:tc>
      </w:tr>
      <w:tr>
        <w:tc>
          <w:tcPr>
            <w:tcW w:type="dxa" w:w="1247"/>
          </w:tcPr>
          <w:p>
            <w:pPr>
              <w:jc w:val="left"/>
            </w:pPr>
            <w:r/>
            <w:r>
              <w:rPr>
                <w:rFonts w:ascii="Times New Roman" w:hAnsi="Times New Roman" w:eastAsia="宋体"/>
                <w:b w:val="0"/>
                <w:sz w:val="21"/>
              </w:rPr>
              <w:t>机构信任 trust</w:t>
            </w:r>
          </w:p>
        </w:tc>
        <w:tc>
          <w:tcPr>
            <w:tcW w:type="dxa" w:w="2268"/>
          </w:tcPr>
          <w:p>
            <w:pPr>
              <w:jc w:val="center"/>
            </w:pPr>
            <w:r/>
            <w:r>
              <w:rPr>
                <w:rFonts w:ascii="Times New Roman" w:hAnsi="Times New Roman" w:eastAsia="宋体"/>
                <w:b w:val="0"/>
                <w:sz w:val="21"/>
              </w:rPr>
              <w:t>投诉与流失倾向、咨询倾向、信任回复速度</w:t>
            </w:r>
          </w:p>
        </w:tc>
        <w:tc>
          <w:tcPr>
            <w:tcW w:type="dxa" w:w="2494"/>
          </w:tcPr>
          <w:p>
            <w:pPr>
              <w:jc w:val="center"/>
            </w:pPr>
            <w:r/>
            <w:r>
              <w:rPr>
                <w:rFonts w:ascii="Times New Roman" w:hAnsi="Times New Roman" w:eastAsia="宋体"/>
                <w:b w:val="0"/>
                <w:sz w:val="21"/>
              </w:rPr>
              <w:t>按原型设定：沉默流失型 0.31 最低</w:t>
            </w:r>
          </w:p>
        </w:tc>
        <w:tc>
          <w:tcPr>
            <w:tcW w:type="dxa" w:w="2835"/>
          </w:tcPr>
          <w:p>
            <w:pPr>
              <w:jc w:val="center"/>
            </w:pPr>
            <w:r/>
            <w:r>
              <w:rPr>
                <w:rFonts w:ascii="Times New Roman" w:hAnsi="Times New Roman" w:eastAsia="宋体"/>
                <w:b w:val="0"/>
                <w:sz w:val="21"/>
              </w:rPr>
              <w:t>用服务触达记录、投诉标签与流失标签拟合</w:t>
            </w:r>
          </w:p>
        </w:tc>
      </w:tr>
    </w:tbl>
    <w:p>
      <w:pPr>
        <w:spacing w:before="80" w:after="240"/>
        <w:jc w:val="center"/>
      </w:pPr>
      <w:r>
        <w:rPr>
          <w:rFonts w:ascii="微软雅黑" w:hAnsi="微软雅黑" w:eastAsia="微软雅黑"/>
          <w:b w:val="0"/>
          <w:color w:val="475569"/>
          <w:sz w:val="21"/>
        </w:rPr>
        <w:t>表 1 六项心理参数的含义、当前取值来源与后续校准方式</w:t>
      </w:r>
    </w:p>
    <w:p>
      <w:pPr>
        <w:spacing w:after="120" w:line="360" w:lineRule="auto"/>
        <w:ind w:firstLine="480"/>
      </w:pPr>
      <w:r>
        <w:rPr>
          <w:rFonts w:ascii="Times New Roman" w:hAnsi="Times New Roman" w:eastAsia="宋体"/>
          <w:b w:val="0"/>
          <w:sz w:val="24"/>
        </w:rPr>
        <w:t>需要如实说明：当前六项参数全部是合成数据下的工程设定，不是对真实客户的心理测量结果。它们的作用是让不同客户对同一场行情产生方向与幅度都合理的差异，而不是宣称刻画了真实客户的心理。真实数据接入后，上表第四列的校准工作才开始，届时需要重新拟合参数分布并同步更新本材料中的指标与结论。</w:t>
      </w:r>
    </w:p>
    <w:p>
      <w:pPr>
        <w:spacing w:before="200" w:after="120"/>
      </w:pPr>
      <w:r>
        <w:rPr>
          <w:rFonts w:ascii="微软雅黑" w:hAnsi="微软雅黑" w:eastAsia="微软雅黑"/>
          <w:b/>
          <w:color w:val="1E3A8A"/>
          <w:sz w:val="27"/>
        </w:rPr>
        <w:t>3.4.2 模型参数的性质与来源</w:t>
      </w:r>
    </w:p>
    <w:p>
      <w:pPr>
        <w:spacing w:after="120" w:line="360" w:lineRule="auto"/>
        <w:ind w:firstLine="480"/>
      </w:pPr>
      <w:r>
        <w:rPr>
          <w:rFonts w:ascii="Times New Roman" w:hAnsi="Times New Roman" w:eastAsia="宋体"/>
          <w:b w:val="0"/>
          <w:sz w:val="24"/>
        </w:rPr>
        <w:t>上面出现的系数并非同一类东西，如实区分它们的来源，有助于判断这套模型的可靠边界。</w:t>
      </w:r>
    </w:p>
    <w:tbl>
      <w:tblPr>
        <w:tblStyle w:val="TableGrid"/>
        <w:tblW w:type="auto" w:w="0"/>
        <w:jc w:val="center"/>
        <w:tblLook w:firstColumn="1" w:firstRow="1" w:lastColumn="0" w:lastRow="0" w:noHBand="0" w:noVBand="1" w:val="04A0"/>
      </w:tblPr>
      <w:tblGrid>
        <w:gridCol w:w="2911"/>
        <w:gridCol w:w="2911"/>
        <w:gridCol w:w="2911"/>
      </w:tblGrid>
      <w:tr>
        <w:tc>
          <w:tcPr>
            <w:tcW w:type="dxa" w:w="1474"/>
          </w:tcPr>
          <w:p>
            <w:pPr>
              <w:jc w:val="center"/>
            </w:pPr>
            <w:r/>
            <w:r>
              <w:rPr>
                <w:rFonts w:ascii="微软雅黑" w:hAnsi="微软雅黑" w:eastAsia="微软雅黑"/>
                <w:b/>
                <w:sz w:val="21"/>
              </w:rPr>
              <w:t>类别</w:t>
            </w:r>
          </w:p>
        </w:tc>
        <w:tc>
          <w:tcPr>
            <w:tcW w:type="dxa" w:w="3175"/>
          </w:tcPr>
          <w:p>
            <w:pPr>
              <w:jc w:val="center"/>
            </w:pPr>
            <w:r/>
            <w:r>
              <w:rPr>
                <w:rFonts w:ascii="微软雅黑" w:hAnsi="微软雅黑" w:eastAsia="微软雅黑"/>
                <w:b/>
                <w:sz w:val="21"/>
              </w:rPr>
              <w:t>典型参数</w:t>
            </w:r>
          </w:p>
        </w:tc>
        <w:tc>
          <w:tcPr>
            <w:tcW w:type="dxa" w:w="3969"/>
          </w:tcPr>
          <w:p>
            <w:pPr>
              <w:jc w:val="center"/>
            </w:pPr>
            <w:r/>
            <w:r>
              <w:rPr>
                <w:rFonts w:ascii="微软雅黑" w:hAnsi="微软雅黑" w:eastAsia="微软雅黑"/>
                <w:b/>
                <w:sz w:val="21"/>
              </w:rPr>
              <w:t>来源与依据</w:t>
            </w:r>
          </w:p>
        </w:tc>
      </w:tr>
      <w:tr>
        <w:tc>
          <w:tcPr>
            <w:tcW w:type="dxa" w:w="1474"/>
          </w:tcPr>
          <w:p>
            <w:pPr>
              <w:jc w:val="left"/>
            </w:pPr>
            <w:r/>
            <w:r>
              <w:rPr>
                <w:rFonts w:ascii="Times New Roman" w:hAnsi="Times New Roman" w:eastAsia="宋体"/>
                <w:b w:val="0"/>
                <w:sz w:val="21"/>
              </w:rPr>
              <w:t>结构性系数</w:t>
            </w:r>
          </w:p>
        </w:tc>
        <w:tc>
          <w:tcPr>
            <w:tcW w:type="dxa" w:w="3175"/>
          </w:tcPr>
          <w:p>
            <w:pPr>
              <w:jc w:val="center"/>
            </w:pPr>
            <w:r/>
            <w:r>
              <w:rPr>
                <w:rFonts w:ascii="Times New Roman" w:hAnsi="Times New Roman" w:eastAsia="宋体"/>
                <w:b w:val="0"/>
                <w:sz w:val="21"/>
              </w:rPr>
              <w:t>恐慌留存 0.56、邻居传导对从众敏感度的线性依赖、买入持有卖出归一</w:t>
            </w:r>
          </w:p>
        </w:tc>
        <w:tc>
          <w:tcPr>
            <w:tcW w:type="dxa" w:w="3969"/>
          </w:tcPr>
          <w:p>
            <w:pPr>
              <w:jc w:val="center"/>
            </w:pPr>
            <w:r/>
            <w:r>
              <w:rPr>
                <w:rFonts w:ascii="Times New Roman" w:hAnsi="Times New Roman" w:eastAsia="宋体"/>
                <w:b w:val="0"/>
                <w:sz w:val="21"/>
              </w:rPr>
              <w:t>模型结构本身的设定，决定「记忆会累积」「情绪会传导」这两条性质是否成立。改动它们会改变模型的行为方式，而不是微调数值。</w:t>
            </w:r>
          </w:p>
        </w:tc>
      </w:tr>
      <w:tr>
        <w:tc>
          <w:tcPr>
            <w:tcW w:type="dxa" w:w="1474"/>
          </w:tcPr>
          <w:p>
            <w:pPr>
              <w:jc w:val="left"/>
            </w:pPr>
            <w:r/>
            <w:r>
              <w:rPr>
                <w:rFonts w:ascii="Times New Roman" w:hAnsi="Times New Roman" w:eastAsia="宋体"/>
                <w:b w:val="0"/>
                <w:sz w:val="21"/>
              </w:rPr>
              <w:t>标定系数</w:t>
            </w:r>
          </w:p>
        </w:tc>
        <w:tc>
          <w:tcPr>
            <w:tcW w:type="dxa" w:w="3175"/>
          </w:tcPr>
          <w:p>
            <w:pPr>
              <w:jc w:val="center"/>
            </w:pPr>
            <w:r/>
            <w:r>
              <w:rPr>
                <w:rFonts w:ascii="Times New Roman" w:hAnsi="Times New Roman" w:eastAsia="宋体"/>
                <w:b w:val="0"/>
                <w:sz w:val="21"/>
              </w:rPr>
              <w:t>传播增益 0.16 + 0.55·s、行情压力 0.095 + 0.82·s、抑制系数 0.09 与 0.045</w:t>
            </w:r>
          </w:p>
        </w:tc>
        <w:tc>
          <w:tcPr>
            <w:tcW w:type="dxa" w:w="3969"/>
          </w:tcPr>
          <w:p>
            <w:pPr>
              <w:jc w:val="center"/>
            </w:pPr>
            <w:r/>
            <w:r>
              <w:rPr>
                <w:rFonts w:ascii="Times New Roman" w:hAnsi="Times New Roman" w:eastAsia="宋体"/>
                <w:b w:val="0"/>
                <w:sz w:val="21"/>
              </w:rPr>
              <w:t>为满足「冲击越大传导越快、持续越久压力越慢」等单调性质而标定，经 630 个场景扫描确认方向一致。它们不是从真实数据拟合得到的。</w:t>
            </w:r>
          </w:p>
        </w:tc>
      </w:tr>
      <w:tr>
        <w:tc>
          <w:tcPr>
            <w:tcW w:type="dxa" w:w="1474"/>
          </w:tcPr>
          <w:p>
            <w:pPr>
              <w:jc w:val="left"/>
            </w:pPr>
            <w:r/>
            <w:r>
              <w:rPr>
                <w:rFonts w:ascii="Times New Roman" w:hAnsi="Times New Roman" w:eastAsia="宋体"/>
                <w:b w:val="0"/>
                <w:sz w:val="21"/>
              </w:rPr>
              <w:t>业务设定参数</w:t>
            </w:r>
          </w:p>
        </w:tc>
        <w:tc>
          <w:tcPr>
            <w:tcW w:type="dxa" w:w="3175"/>
          </w:tcPr>
          <w:p>
            <w:pPr>
              <w:jc w:val="center"/>
            </w:pPr>
            <w:r/>
            <w:r>
              <w:rPr>
                <w:rFonts w:ascii="Times New Roman" w:hAnsi="Times New Roman" w:eastAsia="宋体"/>
                <w:b w:val="0"/>
                <w:sz w:val="21"/>
              </w:rPr>
              <w:t>效用权重（避险 1、触达成本 0.1、唤醒成本 2）</w:t>
            </w:r>
          </w:p>
        </w:tc>
        <w:tc>
          <w:tcPr>
            <w:tcW w:type="dxa" w:w="3969"/>
          </w:tcPr>
          <w:p>
            <w:pPr>
              <w:jc w:val="center"/>
            </w:pPr>
            <w:r/>
            <w:r>
              <w:rPr>
                <w:rFonts w:ascii="Times New Roman" w:hAnsi="Times New Roman" w:eastAsia="宋体"/>
                <w:b w:val="0"/>
                <w:sz w:val="21"/>
              </w:rPr>
              <w:t>避险收益与触达成本量纲不同，两者的兑换率无法从数据中估计，只能由业务方按经营口径设定。材料中同时给出该权重的敏感性曲面。</w:t>
            </w:r>
          </w:p>
        </w:tc>
      </w:tr>
      <w:tr>
        <w:tc>
          <w:tcPr>
            <w:tcW w:type="dxa" w:w="1474"/>
          </w:tcPr>
          <w:p>
            <w:pPr>
              <w:jc w:val="left"/>
            </w:pPr>
            <w:r/>
            <w:r>
              <w:rPr>
                <w:rFonts w:ascii="Times New Roman" w:hAnsi="Times New Roman" w:eastAsia="宋体"/>
                <w:b w:val="0"/>
                <w:sz w:val="21"/>
              </w:rPr>
              <w:t>合成设定</w:t>
            </w:r>
          </w:p>
        </w:tc>
        <w:tc>
          <w:tcPr>
            <w:tcW w:type="dxa" w:w="3175"/>
          </w:tcPr>
          <w:p>
            <w:pPr>
              <w:jc w:val="center"/>
            </w:pPr>
            <w:r/>
            <w:r>
              <w:rPr>
                <w:rFonts w:ascii="Times New Roman" w:hAnsi="Times New Roman" w:eastAsia="宋体"/>
                <w:b w:val="0"/>
                <w:sz w:val="21"/>
              </w:rPr>
              <w:t>六项心理参数的基线取值、五类客户原型的占比</w:t>
            </w:r>
          </w:p>
        </w:tc>
        <w:tc>
          <w:tcPr>
            <w:tcW w:type="dxa" w:w="3969"/>
          </w:tcPr>
          <w:p>
            <w:pPr>
              <w:jc w:val="center"/>
            </w:pPr>
            <w:r/>
            <w:r>
              <w:rPr>
                <w:rFonts w:ascii="Times New Roman" w:hAnsi="Times New Roman" w:eastAsia="宋体"/>
                <w:b w:val="0"/>
                <w:sz w:val="21"/>
              </w:rPr>
              <w:t>当前为合成数据下的工程设定，不是真实客户心理测量值。真实数据接入后需要重新拟合并更新指标。</w:t>
            </w:r>
          </w:p>
        </w:tc>
      </w:tr>
    </w:tbl>
    <w:p>
      <w:pPr>
        <w:spacing w:before="80" w:after="240"/>
        <w:jc w:val="center"/>
      </w:pPr>
      <w:r>
        <w:rPr>
          <w:rFonts w:ascii="微软雅黑" w:hAnsi="微软雅黑" w:eastAsia="微软雅黑"/>
          <w:b w:val="0"/>
          <w:color w:val="475569"/>
          <w:sz w:val="21"/>
        </w:rPr>
        <w:t>表 2 模型中各类参数的性质与来源</w:t>
      </w:r>
    </w:p>
    <w:p>
      <w:pPr>
        <w:spacing w:before="200" w:after="120"/>
      </w:pPr>
      <w:r>
        <w:rPr>
          <w:rFonts w:ascii="微软雅黑" w:hAnsi="微软雅黑" w:eastAsia="微软雅黑"/>
          <w:b/>
          <w:color w:val="1E3A8A"/>
          <w:sz w:val="27"/>
        </w:rPr>
        <w:t>3.4.3 时间步循环伪代码</w:t>
      </w:r>
    </w:p>
    <w:tbl>
      <w:tblPr>
        <w:tblW w:type="auto" w:w="0"/>
        <w:jc w:val="center"/>
        <w:tblLook w:firstColumn="1" w:firstRow="1" w:lastColumn="0" w:lastRow="0" w:noHBand="0" w:noVBand="1" w:val="04A0"/>
      </w:tblPr>
      <w:tblGrid>
        <w:gridCol w:w="8732"/>
      </w:tblGrid>
      <w:tr>
        <w:tc>
          <w:tcPr>
            <w:tcW w:type="dxa" w:w="8732"/>
            <w:shd w:val="clear" w:color="auto" w:fill="F3F6FB"/>
          </w:tcPr>
          <w:p>
            <w:pPr>
              <w:spacing w:after="40" w:line="324" w:lineRule="auto"/>
            </w:pPr>
            <w:r>
              <w:rPr>
                <w:rFonts w:ascii="Consolas" w:hAnsi="Consolas" w:eastAsia="宋体"/>
                <w:b w:val="0"/>
                <w:color w:val="111827"/>
                <w:sz w:val="21"/>
              </w:rPr>
              <w:t>输入：场景（跌幅 s、时长 H、客户数 N、段数 T、种子 seed、客群口径）</w:t>
            </w:r>
          </w:p>
          <w:p>
            <w:pPr>
              <w:spacing w:after="40" w:line="324" w:lineRule="auto"/>
            </w:pPr>
            <w:r>
              <w:rPr>
                <w:rFonts w:ascii="Consolas" w:hAnsi="Consolas" w:eastAsia="宋体"/>
                <w:b w:val="0"/>
                <w:color w:val="111827"/>
                <w:sz w:val="21"/>
              </w:rPr>
              <w:t>随机数发生器 rng ← mulberry32(seed)                      # 确定性，保证可复现</w:t>
            </w:r>
          </w:p>
          <w:p>
            <w:pPr>
              <w:spacing w:after="40" w:line="324" w:lineRule="auto"/>
            </w:pPr>
            <w:r>
              <w:rPr>
                <w:rFonts w:ascii="Consolas" w:hAnsi="Consolas" w:eastAsia="宋体"/>
                <w:b w:val="0"/>
                <w:color w:val="111827"/>
                <w:sz w:val="21"/>
              </w:rPr>
              <w:t>客户池   ← 生成候选客户(rng)；目标客户 ← 按口径筛选(客户池, s)   # 命中不足时按回撤降序补足并标注</w:t>
            </w:r>
          </w:p>
          <w:p>
            <w:pPr>
              <w:spacing w:after="40" w:line="324" w:lineRule="auto"/>
            </w:pPr>
            <w:r>
              <w:rPr>
                <w:rFonts w:ascii="Consolas" w:hAnsi="Consolas" w:eastAsia="宋体"/>
                <w:b w:val="0"/>
                <w:color w:val="111827"/>
                <w:sz w:val="21"/>
              </w:rPr>
              <w:t>对每个客户 i：计算 βᵢ、DDᵢ、初始恐慌 pᵢ(0)                    # 公式 ①②</w:t>
            </w:r>
          </w:p>
          <w:p>
            <w:pPr>
              <w:spacing w:after="40" w:line="324" w:lineRule="auto"/>
            </w:pPr>
            <w:r>
              <w:rPr>
                <w:rFonts w:ascii="Consolas" w:hAnsi="Consolas" w:eastAsia="宋体"/>
                <w:b w:val="0"/>
                <w:color w:val="111827"/>
                <w:sz w:val="21"/>
              </w:rPr>
              <w:t>关系网络 ← 生成三类关系边(目标客户, seed)                      # 相似性 / 社交影响 / 统一服务触达</w:t>
            </w:r>
          </w:p>
          <w:p>
            <w:pPr>
              <w:spacing w:after="40" w:line="324" w:lineRule="auto"/>
            </w:pPr>
            <w:r>
              <w:rPr>
                <w:rFonts w:ascii="Consolas" w:hAnsi="Consolas" w:eastAsia="宋体"/>
                <w:b w:val="0"/>
                <w:color w:val="111827"/>
                <w:sz w:val="21"/>
              </w:rPr>
              <w:t>邻接表   ← 建邻接表(关系网络)</w:t>
            </w:r>
          </w:p>
          <w:p>
            <w:pPr>
              <w:spacing w:after="40" w:line="324" w:lineRule="auto"/>
            </w:pPr>
            <w:r>
              <w:rPr>
                <w:rFonts w:ascii="Consolas" w:hAnsi="Consolas" w:eastAsia="宋体"/>
                <w:b w:val="0"/>
                <w:color w:val="111827"/>
                <w:sz w:val="21"/>
              </w:rPr>
            </w:r>
          </w:p>
          <w:p>
            <w:pPr>
              <w:spacing w:after="40" w:line="324" w:lineRule="auto"/>
            </w:pPr>
            <w:r>
              <w:rPr>
                <w:rFonts w:ascii="Consolas" w:hAnsi="Consolas" w:eastAsia="宋体"/>
                <w:b w:val="0"/>
                <w:color w:val="111827"/>
                <w:sz w:val="21"/>
              </w:rPr>
              <w:t>对 t = 1 … T：                                             # 公式 ③④⑤</w:t>
            </w:r>
          </w:p>
          <w:p>
            <w:pPr>
              <w:spacing w:after="40" w:line="324" w:lineRule="auto"/>
            </w:pPr>
            <w:r>
              <w:rPr>
                <w:rFonts w:ascii="Consolas" w:hAnsi="Consolas" w:eastAsia="宋体"/>
                <w:b w:val="0"/>
                <w:color w:val="111827"/>
                <w:sz w:val="21"/>
              </w:rPr>
              <w:t xml:space="preserve">    记录上一步恐慌快照 previous ← {pᵢ(t−1)}                   # 传播只用上一步状态，避免同一步内串行影响</w:t>
            </w:r>
          </w:p>
          <w:p>
            <w:pPr>
              <w:spacing w:after="40" w:line="324" w:lineRule="auto"/>
            </w:pPr>
            <w:r>
              <w:rPr>
                <w:rFonts w:ascii="Consolas" w:hAnsi="Consolas" w:eastAsia="宋体"/>
                <w:b w:val="0"/>
                <w:color w:val="111827"/>
                <w:sz w:val="21"/>
              </w:rPr>
              <w:t xml:space="preserve">    计算当步行情压力 S(t)</w:t>
            </w:r>
          </w:p>
          <w:p>
            <w:pPr>
              <w:spacing w:after="40" w:line="324" w:lineRule="auto"/>
            </w:pPr>
            <w:r>
              <w:rPr>
                <w:rFonts w:ascii="Consolas" w:hAnsi="Consolas" w:eastAsia="宋体"/>
                <w:b w:val="0"/>
                <w:color w:val="111827"/>
                <w:sz w:val="21"/>
              </w:rPr>
              <w:t xml:space="preserve">    对每个客户 i（并行无关，逐一更新）：</w:t>
            </w:r>
          </w:p>
          <w:p>
            <w:pPr>
              <w:spacing w:after="40" w:line="324" w:lineRule="auto"/>
            </w:pPr>
            <w:r>
              <w:rPr>
                <w:rFonts w:ascii="Consolas" w:hAnsi="Consolas" w:eastAsia="宋体"/>
                <w:b w:val="0"/>
                <w:color w:val="111827"/>
                <w:sz w:val="21"/>
              </w:rPr>
              <w:t xml:space="preserve">        计算触达门控 reachedᵢ(t)                              # 覆盖率 × 风险聚焦 × 人工爬坡</w:t>
            </w:r>
          </w:p>
          <w:p>
            <w:pPr>
              <w:spacing w:after="40" w:line="324" w:lineRule="auto"/>
            </w:pPr>
            <w:r>
              <w:rPr>
                <w:rFonts w:ascii="Consolas" w:hAnsi="Consolas" w:eastAsia="宋体"/>
                <w:b w:val="0"/>
                <w:color w:val="111827"/>
                <w:sz w:val="21"/>
              </w:rPr>
              <w:t xml:space="preserve">        计算邻居传导 Cᵢ(t)；计算安抚 Bᵢ(t) 与唤醒 Wᵢ(t)</w:t>
            </w:r>
          </w:p>
          <w:p>
            <w:pPr>
              <w:spacing w:after="40" w:line="324" w:lineRule="auto"/>
            </w:pPr>
            <w:r>
              <w:rPr>
                <w:rFonts w:ascii="Consolas" w:hAnsi="Consolas" w:eastAsia="宋体"/>
                <w:b w:val="0"/>
                <w:color w:val="111827"/>
                <w:sz w:val="21"/>
              </w:rPr>
              <w:t xml:space="preserve">        pᵢ(t) ← clamp( 0.56·pᵢ(t−1) + S(t)·λᵢ + Cᵢ(t) + Aᵢ + Wᵢ − Bᵢ − 0.09·dᵢ − 0.045·kᵢ + εᵢ )</w:t>
            </w:r>
          </w:p>
          <w:p>
            <w:pPr>
              <w:spacing w:after="40" w:line="324" w:lineRule="auto"/>
            </w:pPr>
            <w:r>
              <w:rPr>
                <w:rFonts w:ascii="Consolas" w:hAnsi="Consolas" w:eastAsia="宋体"/>
                <w:b w:val="0"/>
                <w:color w:val="111827"/>
                <w:sz w:val="21"/>
              </w:rPr>
              <w:t xml:space="preserve">        更新信任 trustᵢ；换算 sell / buy / hold / consult / complaint / churn   # 公式 ⑥</w:t>
            </w:r>
          </w:p>
          <w:p>
            <w:pPr>
              <w:spacing w:after="40" w:line="324" w:lineRule="auto"/>
            </w:pPr>
            <w:r>
              <w:rPr>
                <w:rFonts w:ascii="Consolas" w:hAnsi="Consolas" w:eastAsia="宋体"/>
                <w:b w:val="0"/>
                <w:color w:val="111827"/>
                <w:sz w:val="21"/>
              </w:rPr>
              <w:t xml:space="preserve">        若 riskScore(i) &gt; peakRisk(i)：更新 peakRisk(i) 与 peakStep(i)          # 峰值暴露</w:t>
            </w:r>
          </w:p>
          <w:p>
            <w:pPr>
              <w:spacing w:after="40" w:line="324" w:lineRule="auto"/>
            </w:pPr>
            <w:r>
              <w:rPr>
                <w:rFonts w:ascii="Consolas" w:hAnsi="Consolas" w:eastAsia="宋体"/>
                <w:b w:val="0"/>
                <w:color w:val="111827"/>
                <w:sz w:val="21"/>
              </w:rPr>
              <w:t xml:space="preserve">    汇总该步群体均值，写入快照（用于回放与指标曲线）</w:t>
            </w:r>
          </w:p>
          <w:p>
            <w:pPr>
              <w:spacing w:after="40" w:line="324" w:lineRule="auto"/>
            </w:pPr>
            <w:r>
              <w:rPr>
                <w:rFonts w:ascii="Consolas" w:hAnsi="Consolas" w:eastAsia="宋体"/>
                <w:b w:val="0"/>
                <w:color w:val="111827"/>
                <w:sz w:val="21"/>
              </w:rPr>
            </w:r>
          </w:p>
          <w:p>
            <w:pPr>
              <w:spacing w:after="40" w:line="324" w:lineRule="auto"/>
            </w:pPr>
            <w:r>
              <w:rPr>
                <w:rFonts w:ascii="Consolas" w:hAnsi="Consolas" w:eastAsia="宋体"/>
                <w:b w:val="0"/>
                <w:color w:val="111827"/>
                <w:sz w:val="21"/>
              </w:rPr>
              <w:t>按 peakRisk 降序生成干预队列与优先级（高 ≥ 0.45 / 中 ≥ 0.30）</w:t>
            </w:r>
          </w:p>
          <w:p>
            <w:pPr>
              <w:spacing w:after="40" w:line="324" w:lineRule="auto"/>
            </w:pPr>
            <w:r>
              <w:rPr>
                <w:rFonts w:ascii="Consolas" w:hAnsi="Consolas" w:eastAsia="宋体"/>
                <w:b w:val="0"/>
                <w:color w:val="111827"/>
                <w:sz w:val="21"/>
              </w:rPr>
              <w:t>按快照序列计算恐慌峰值、期末卖出 / 投诉 / 流失 / 信任，跑三套方案并比较</w:t>
            </w:r>
          </w:p>
        </w:tc>
      </w:tr>
    </w:tbl>
    <w:p>
      <w:pPr>
        <w:spacing w:before="60" w:after="200"/>
      </w:pPr>
      <w:r>
        <w:rPr>
          <w:rFonts w:ascii="Times New Roman" w:hAnsi="Times New Roman" w:eastAsia="宋体"/>
          <w:b w:val="0"/>
          <w:color w:val="555F70"/>
          <w:sz w:val="20"/>
        </w:rPr>
        <w:t>整段计算不依赖模型输出，因此同一场景与随机种子必然得到相同的聚合结果；模型只影响任务规划、参数抽取与话术措辞，不影响上述任何数值。</w:t>
      </w:r>
    </w:p>
    <w:p>
      <w:pPr>
        <w:spacing w:before="200" w:after="120"/>
      </w:pPr>
      <w:r>
        <w:rPr>
          <w:rFonts w:ascii="微软雅黑" w:hAnsi="微软雅黑" w:eastAsia="微软雅黑"/>
          <w:b/>
          <w:color w:val="1E3A8A"/>
          <w:sz w:val="27"/>
        </w:rPr>
        <w:t>3.5 合规规则引擎</w:t>
      </w:r>
    </w:p>
    <w:p>
      <w:pPr>
        <w:spacing w:after="120" w:line="360" w:lineRule="auto"/>
        <w:ind w:firstLine="480"/>
      </w:pPr>
      <w:r>
        <w:rPr>
          <w:rFonts w:ascii="Times New Roman" w:hAnsi="Times New Roman" w:eastAsia="宋体"/>
          <w:b w:val="0"/>
          <w:sz w:val="24"/>
        </w:rPr>
        <w:t>合规检查由 19 条注册式规则组成，每条规则带有编号、严重级别、作用范围、匹配模式与是否启用否定语境识别。规则覆盖收益承诺与保本表达、诱导性紧迫表达、替客户做决定、内幕信息与未公开信息、适当性越级推荐、风险揭示缺失、绝对化用语与隐私字段外泄等类别。规则引擎额外维护一份客户风险等级与产品风险等级的适当性矩阵，当推荐的产品风险高于客户承受等级时直接拦截。</w:t>
      </w:r>
    </w:p>
    <w:p>
      <w:pPr>
        <w:spacing w:after="120" w:line="360" w:lineRule="auto"/>
        <w:ind w:firstLine="480"/>
      </w:pPr>
      <w:r>
        <w:rPr>
          <w:rFonts w:ascii="Times New Roman" w:hAnsi="Times New Roman" w:eastAsia="宋体"/>
          <w:b w:val="0"/>
          <w:sz w:val="24"/>
        </w:rPr>
        <w:t>否定语境处理是本项目的重点细节。诸如我不会催促您立即操作，也无法承诺收益这类表述在字面上命中了诱导性紧迫表达与收益承诺两类模式，但语义上是合规的免责说明。规则引擎在命中位置附近识别否定词与免责结构，将这类命中降级为提示记录，避免出现把合规话术误判为违规的情况。</w:t>
      </w:r>
    </w:p>
    <w:p>
      <w:pPr>
        <w:spacing w:after="120" w:line="360" w:lineRule="auto"/>
        <w:ind w:firstLine="480"/>
      </w:pPr>
      <w:r>
        <w:rPr>
          <w:rFonts w:ascii="Times New Roman" w:hAnsi="Times New Roman" w:eastAsia="宋体"/>
          <w:b w:val="0"/>
          <w:sz w:val="24"/>
        </w:rPr>
        <w:t>规则引擎的判定结果直接构成审计材料。每条发现记录规则编号、严重级别、所属策略、命中片段、字符区间、规则版本与处置状态，状态分为已拦截、待审批与通过三类。命中阻断级规则时，Policy Gateway 终止该策略的继续执行并写入审计，模型无法绕过这一层。同一套规则集同时服务于群体模拟流程与独立的合规检查接口，避免出现两套口径。</w:t>
      </w:r>
    </w:p>
    <w:p>
      <w:pPr>
        <w:spacing w:before="200" w:after="120"/>
      </w:pPr>
      <w:r>
        <w:rPr>
          <w:rFonts w:ascii="微软雅黑" w:hAnsi="微软雅黑" w:eastAsia="微软雅黑"/>
          <w:b/>
          <w:color w:val="1E3A8A"/>
          <w:sz w:val="27"/>
        </w:rPr>
        <w:t>3.6 异步任务、实时进度与失败降级</w:t>
      </w:r>
    </w:p>
    <w:p>
      <w:pPr>
        <w:spacing w:after="120" w:line="360" w:lineRule="auto"/>
        <w:ind w:firstLine="480"/>
      </w:pPr>
      <w:r>
        <w:rPr>
          <w:rFonts w:ascii="Times New Roman" w:hAnsi="Times New Roman" w:eastAsia="宋体"/>
          <w:b w:val="0"/>
          <w:sz w:val="24"/>
        </w:rPr>
        <w:t>任务提交接口在写入任务记录后立即返回 202 与任务编号，实际执行在后台进行，本地环境不支持的运行时能力会退化为同步执行，但事件照常落库，功能不缺失。进度接口以 SSE 增量推送任务状态、步骤开始与完成、模拟快照、合规发现以及任务完成或失败事件，并带 15 秒心跳。第一个事件固定在场景抽取步骤开始时下发，先于任何模型调用，因此首帧反馈时间与模型延迟解耦。</w:t>
      </w:r>
    </w:p>
    <w:p>
      <w:pPr>
        <w:spacing w:after="120" w:line="360" w:lineRule="auto"/>
        <w:ind w:firstLine="480"/>
      </w:pPr>
      <w:r>
        <w:rPr>
          <w:rFonts w:ascii="Times New Roman" w:hAnsi="Times New Roman" w:eastAsia="宋体"/>
          <w:b w:val="0"/>
          <w:sz w:val="24"/>
        </w:rPr>
        <w:t>任务支持取消、重试与超时降级。取消请求在当前步骤边界生效；任务级重试上限为 2 次并采用指数退避；默认 90 秒无进展判定为超时。模型超时、格式错误、知识缺失与模拟失败四类异常都有明确的状态与错误码，并且都会给出确定性的降级结果，界面同步展示错误码、重试与取消入口。</w:t>
      </w:r>
    </w:p>
    <w:p>
      <w:pPr>
        <w:spacing w:before="200" w:after="120"/>
      </w:pPr>
      <w:r>
        <w:rPr>
          <w:rFonts w:ascii="微软雅黑" w:hAnsi="微软雅黑" w:eastAsia="微软雅黑"/>
          <w:b/>
          <w:color w:val="1E3A8A"/>
          <w:sz w:val="27"/>
        </w:rPr>
        <w:t>3.7 能力边界</w:t>
      </w:r>
    </w:p>
    <w:p>
      <w:pPr>
        <w:spacing w:after="120" w:line="360" w:lineRule="auto"/>
        <w:ind w:firstLine="480"/>
      </w:pPr>
      <w:r>
        <w:rPr>
          <w:rFonts w:ascii="Times New Roman" w:hAnsi="Times New Roman" w:eastAsia="宋体"/>
          <w:b w:val="0"/>
          <w:sz w:val="24"/>
        </w:rPr>
        <w:t>明确划分三类职责是这套设计能够同时满足可复现性与合规性的前提。模型侧负责目标理解、任务规划、场景参数抽取、候选策略与话术生成以及结果解释；数值引擎侧负责客户生成、关系网络、逐时间步群体模拟、聚合指标与峰值暴露统计；硬边界侧负责合规判定、适当性校验、阻断改写、审计留痕与人工审批。界面与报告中不展示任何原始思维链，只展示因素权重、数据证据、规则命中与结构化执行轨迹。</w:t>
      </w:r>
    </w:p>
    <w:p>
      <w:pPr>
        <w:spacing w:before="320" w:after="160"/>
      </w:pPr>
      <w:r>
        <w:rPr>
          <w:rFonts w:ascii="微软雅黑" w:hAnsi="微软雅黑" w:eastAsia="微软雅黑"/>
          <w:b/>
          <w:color w:val="0F172A"/>
          <w:sz w:val="32"/>
        </w:rPr>
        <w:t>四、已有成果与指标</w:t>
      </w:r>
    </w:p>
    <w:p>
      <w:pPr>
        <w:spacing w:before="200" w:after="120"/>
      </w:pPr>
      <w:r>
        <w:rPr>
          <w:rFonts w:ascii="微软雅黑" w:hAnsi="微软雅黑" w:eastAsia="微软雅黑"/>
          <w:b/>
          <w:color w:val="1E3A8A"/>
          <w:sz w:val="27"/>
        </w:rPr>
        <w:t>4.1 完成情况</w:t>
      </w:r>
    </w:p>
    <w:p>
      <w:pPr>
        <w:spacing w:after="120" w:line="360" w:lineRule="auto"/>
        <w:ind w:firstLine="480"/>
      </w:pPr>
      <w:r>
        <w:rPr>
          <w:rFonts w:ascii="Times New Roman" w:hAnsi="Times New Roman" w:eastAsia="宋体"/>
          <w:b w:val="0"/>
          <w:sz w:val="24"/>
        </w:rPr>
        <w:t>项目当前已完成四个核心页面、确定性客户生成、三套锚点策略与参数空间搜索、三类关系网络传播、合规发现、审计轨迹、报告导出与完整的 API 层，并配置了 SQLite 兼容的持久化，托管版本使用 Cloudflare Workers 与 D1。自然语言中的跌幅、持续时间、客户规模、时间步与随机种子均会进入结构化场景配置，进而影响模拟、持久化、审计与报告。前端任务执行已切换到服务端接口，并在服务端不可用时提供同版本引擎的确定性本地降级。工程侧建立了自动化回归测试，共 69 项用例覆盖确定性、参数敏感性、分群筛选、行为倾向约束、场景抽取边界、沟通策略参数空间、结论对效用权重的稳健性、合规硬边界因果性、技能沉淀与复用、合规语料召回与误拦截以及任务生命周期；静态检查、类型检查与构建均通过。</w:t>
      </w:r>
    </w:p>
    <w:p>
      <w:pPr>
        <w:spacing w:after="120" w:line="360" w:lineRule="auto"/>
        <w:ind w:firstLine="480"/>
      </w:pPr>
      <w:r>
        <w:rPr>
          <w:rFonts w:ascii="Times New Roman" w:hAnsi="Times New Roman" w:eastAsia="宋体"/>
          <w:b w:val="0"/>
          <w:sz w:val="24"/>
        </w:rPr>
        <w:t>本节所有指标由脚本自动生成，记录在版本为 v0.2.0、规则版本为 compliance-rules@2026.09 的指标快照中。指标体系使用合成脱敏数据，随机种子为 20260830。</w:t>
      </w:r>
    </w:p>
    <w:p>
      <w:pPr>
        <w:spacing w:before="200" w:after="120"/>
      </w:pPr>
      <w:r>
        <w:rPr>
          <w:rFonts w:ascii="微软雅黑" w:hAnsi="微软雅黑" w:eastAsia="微软雅黑"/>
          <w:b/>
          <w:color w:val="1E3A8A"/>
          <w:sz w:val="27"/>
        </w:rPr>
        <w:t>4.2 验收指标对照</w:t>
      </w:r>
    </w:p>
    <w:p>
      <w:pPr>
        <w:spacing w:after="120" w:line="360" w:lineRule="auto"/>
        <w:ind w:firstLine="480"/>
      </w:pPr>
      <w:r>
        <w:rPr>
          <w:rFonts w:ascii="Times New Roman" w:hAnsi="Times New Roman" w:eastAsia="宋体"/>
          <w:b w:val="0"/>
          <w:sz w:val="24"/>
        </w:rPr>
        <w:t>下表为本轮的对外指标。其中第 1 项的口径需要特别说明：未接入模型密钥时规划走内置模板，因此它是流水线冒烟测试，不代表模型的规划能力；第 7 项的策略夺冠分布是本轮新增的关键证据。</w:t>
      </w:r>
    </w:p>
    <w:tbl>
      <w:tblPr>
        <w:tblStyle w:val="TableGrid"/>
        <w:tblW w:type="auto" w:w="0"/>
        <w:jc w:val="center"/>
        <w:tblLook w:firstColumn="1" w:firstRow="1" w:lastColumn="0" w:lastRow="0" w:noHBand="0" w:noVBand="1" w:val="04A0"/>
      </w:tblPr>
      <w:tblGrid>
        <w:gridCol w:w="2183"/>
        <w:gridCol w:w="2183"/>
        <w:gridCol w:w="2183"/>
        <w:gridCol w:w="2183"/>
      </w:tblGrid>
      <w:tr>
        <w:tc>
          <w:tcPr>
            <w:tcW w:type="dxa" w:w="3061"/>
          </w:tcPr>
          <w:p>
            <w:pPr>
              <w:jc w:val="center"/>
            </w:pPr>
            <w:r/>
            <w:r>
              <w:rPr>
                <w:rFonts w:ascii="微软雅黑" w:hAnsi="微软雅黑" w:eastAsia="微软雅黑"/>
                <w:b/>
                <w:sz w:val="21"/>
              </w:rPr>
              <w:t>验收项</w:t>
            </w:r>
          </w:p>
        </w:tc>
        <w:tc>
          <w:tcPr>
            <w:tcW w:type="dxa" w:w="1928"/>
          </w:tcPr>
          <w:p>
            <w:pPr>
              <w:jc w:val="center"/>
            </w:pPr>
            <w:r/>
            <w:r>
              <w:rPr>
                <w:rFonts w:ascii="微软雅黑" w:hAnsi="微软雅黑" w:eastAsia="微软雅黑"/>
                <w:b/>
                <w:sz w:val="21"/>
              </w:rPr>
              <w:t>目标</w:t>
            </w:r>
          </w:p>
        </w:tc>
        <w:tc>
          <w:tcPr>
            <w:tcW w:type="dxa" w:w="2381"/>
          </w:tcPr>
          <w:p>
            <w:pPr>
              <w:jc w:val="center"/>
            </w:pPr>
            <w:r/>
            <w:r>
              <w:rPr>
                <w:rFonts w:ascii="微软雅黑" w:hAnsi="微软雅黑" w:eastAsia="微软雅黑"/>
                <w:b/>
                <w:sz w:val="21"/>
              </w:rPr>
              <w:t>实测</w:t>
            </w:r>
          </w:p>
        </w:tc>
        <w:tc>
          <w:tcPr>
            <w:tcW w:type="dxa" w:w="1134"/>
          </w:tcPr>
          <w:p>
            <w:pPr>
              <w:jc w:val="center"/>
            </w:pPr>
            <w:r/>
            <w:r>
              <w:rPr>
                <w:rFonts w:ascii="微软雅黑" w:hAnsi="微软雅黑" w:eastAsia="微软雅黑"/>
                <w:b/>
                <w:sz w:val="21"/>
              </w:rPr>
              <w:t>结论</w:t>
            </w:r>
          </w:p>
        </w:tc>
      </w:tr>
      <w:tr>
        <w:tc>
          <w:tcPr>
            <w:tcW w:type="dxa" w:w="3061"/>
          </w:tcPr>
          <w:p>
            <w:pPr>
              <w:jc w:val="left"/>
            </w:pPr>
            <w:r/>
            <w:r>
              <w:rPr>
                <w:rFonts w:ascii="Times New Roman" w:hAnsi="Times New Roman" w:eastAsia="宋体"/>
                <w:b w:val="0"/>
                <w:sz w:val="21"/>
              </w:rPr>
              <w:t>标准任务工具链完整率</w:t>
            </w:r>
          </w:p>
        </w:tc>
        <w:tc>
          <w:tcPr>
            <w:tcW w:type="dxa" w:w="1928"/>
          </w:tcPr>
          <w:p>
            <w:pPr>
              <w:jc w:val="center"/>
            </w:pPr>
            <w:r/>
            <w:r>
              <w:rPr>
                <w:rFonts w:ascii="Times New Roman" w:hAnsi="Times New Roman" w:eastAsia="宋体"/>
                <w:b w:val="0"/>
                <w:sz w:val="21"/>
              </w:rPr>
              <w:t>不低于 90%</w:t>
            </w:r>
          </w:p>
        </w:tc>
        <w:tc>
          <w:tcPr>
            <w:tcW w:type="dxa" w:w="2381"/>
          </w:tcPr>
          <w:p>
            <w:pPr>
              <w:jc w:val="center"/>
            </w:pPr>
            <w:r/>
            <w:r>
              <w:rPr>
                <w:rFonts w:ascii="Times New Roman" w:hAnsi="Times New Roman" w:eastAsia="宋体"/>
                <w:b w:val="0"/>
                <w:sz w:val="21"/>
              </w:rPr>
              <w:t>100%</w:t>
            </w:r>
          </w:p>
        </w:tc>
        <w:tc>
          <w:tcPr>
            <w:tcW w:type="dxa" w:w="1134"/>
          </w:tcPr>
          <w:p>
            <w:pPr>
              <w:jc w:val="center"/>
            </w:pPr>
            <w:r/>
            <w:r>
              <w:rPr>
                <w:rFonts w:ascii="Times New Roman" w:hAnsi="Times New Roman" w:eastAsia="宋体"/>
                <w:b w:val="0"/>
                <w:sz w:val="21"/>
              </w:rPr>
              <w:t>通过</w:t>
            </w:r>
          </w:p>
        </w:tc>
      </w:tr>
      <w:tr>
        <w:tc>
          <w:tcPr>
            <w:tcW w:type="dxa" w:w="3061"/>
          </w:tcPr>
          <w:p>
            <w:pPr>
              <w:jc w:val="left"/>
            </w:pPr>
            <w:r/>
            <w:r>
              <w:rPr>
                <w:rFonts w:ascii="Times New Roman" w:hAnsi="Times New Roman" w:eastAsia="宋体"/>
                <w:b w:val="0"/>
                <w:sz w:val="21"/>
              </w:rPr>
              <w:t>标准任务工具调用成功率</w:t>
            </w:r>
          </w:p>
        </w:tc>
        <w:tc>
          <w:tcPr>
            <w:tcW w:type="dxa" w:w="1928"/>
          </w:tcPr>
          <w:p>
            <w:pPr>
              <w:jc w:val="center"/>
            </w:pPr>
            <w:r/>
            <w:r>
              <w:rPr>
                <w:rFonts w:ascii="Times New Roman" w:hAnsi="Times New Roman" w:eastAsia="宋体"/>
                <w:b w:val="0"/>
                <w:sz w:val="21"/>
              </w:rPr>
              <w:t>不低于 90%</w:t>
            </w:r>
          </w:p>
        </w:tc>
        <w:tc>
          <w:tcPr>
            <w:tcW w:type="dxa" w:w="2381"/>
          </w:tcPr>
          <w:p>
            <w:pPr>
              <w:jc w:val="center"/>
            </w:pPr>
            <w:r/>
            <w:r>
              <w:rPr>
                <w:rFonts w:ascii="Times New Roman" w:hAnsi="Times New Roman" w:eastAsia="宋体"/>
                <w:b w:val="0"/>
                <w:sz w:val="21"/>
              </w:rPr>
              <w:t>100%</w:t>
            </w:r>
          </w:p>
        </w:tc>
        <w:tc>
          <w:tcPr>
            <w:tcW w:type="dxa" w:w="1134"/>
          </w:tcPr>
          <w:p>
            <w:pPr>
              <w:jc w:val="center"/>
            </w:pPr>
            <w:r/>
            <w:r>
              <w:rPr>
                <w:rFonts w:ascii="Times New Roman" w:hAnsi="Times New Roman" w:eastAsia="宋体"/>
                <w:b w:val="0"/>
                <w:sz w:val="21"/>
              </w:rPr>
              <w:t>通过</w:t>
            </w:r>
          </w:p>
        </w:tc>
      </w:tr>
      <w:tr>
        <w:tc>
          <w:tcPr>
            <w:tcW w:type="dxa" w:w="3061"/>
          </w:tcPr>
          <w:p>
            <w:pPr>
              <w:jc w:val="left"/>
            </w:pPr>
            <w:r/>
            <w:r>
              <w:rPr>
                <w:rFonts w:ascii="Times New Roman" w:hAnsi="Times New Roman" w:eastAsia="宋体"/>
                <w:b w:val="0"/>
                <w:sz w:val="21"/>
              </w:rPr>
              <w:t>标准任务场景抽取一致率</w:t>
            </w:r>
          </w:p>
        </w:tc>
        <w:tc>
          <w:tcPr>
            <w:tcW w:type="dxa" w:w="1928"/>
          </w:tcPr>
          <w:p>
            <w:pPr>
              <w:jc w:val="center"/>
            </w:pPr>
            <w:r/>
            <w:r>
              <w:rPr>
                <w:rFonts w:ascii="Times New Roman" w:hAnsi="Times New Roman" w:eastAsia="宋体"/>
                <w:b w:val="0"/>
                <w:sz w:val="21"/>
              </w:rPr>
              <w:t>不低于 90%</w:t>
            </w:r>
          </w:p>
        </w:tc>
        <w:tc>
          <w:tcPr>
            <w:tcW w:type="dxa" w:w="2381"/>
          </w:tcPr>
          <w:p>
            <w:pPr>
              <w:jc w:val="center"/>
            </w:pPr>
            <w:r/>
            <w:r>
              <w:rPr>
                <w:rFonts w:ascii="Times New Roman" w:hAnsi="Times New Roman" w:eastAsia="宋体"/>
                <w:b w:val="0"/>
                <w:sz w:val="21"/>
              </w:rPr>
              <w:t>100%</w:t>
            </w:r>
          </w:p>
        </w:tc>
        <w:tc>
          <w:tcPr>
            <w:tcW w:type="dxa" w:w="1134"/>
          </w:tcPr>
          <w:p>
            <w:pPr>
              <w:jc w:val="center"/>
            </w:pPr>
            <w:r/>
            <w:r>
              <w:rPr>
                <w:rFonts w:ascii="Times New Roman" w:hAnsi="Times New Roman" w:eastAsia="宋体"/>
                <w:b w:val="0"/>
                <w:sz w:val="21"/>
              </w:rPr>
              <w:t>通过</w:t>
            </w:r>
          </w:p>
        </w:tc>
      </w:tr>
      <w:tr>
        <w:tc>
          <w:tcPr>
            <w:tcW w:type="dxa" w:w="3061"/>
          </w:tcPr>
          <w:p>
            <w:pPr>
              <w:jc w:val="left"/>
            </w:pPr>
            <w:r/>
            <w:r>
              <w:rPr>
                <w:rFonts w:ascii="Times New Roman" w:hAnsi="Times New Roman" w:eastAsia="宋体"/>
                <w:b w:val="0"/>
                <w:sz w:val="21"/>
              </w:rPr>
              <w:t>模型规划产出被采纳占比</w:t>
            </w:r>
          </w:p>
        </w:tc>
        <w:tc>
          <w:tcPr>
            <w:tcW w:type="dxa" w:w="1928"/>
          </w:tcPr>
          <w:p>
            <w:pPr>
              <w:jc w:val="center"/>
            </w:pPr>
            <w:r/>
            <w:r>
              <w:rPr>
                <w:rFonts w:ascii="Times New Roman" w:hAnsi="Times New Roman" w:eastAsia="宋体"/>
                <w:b w:val="0"/>
                <w:sz w:val="21"/>
              </w:rPr>
              <w:t>记录值</w:t>
            </w:r>
          </w:p>
        </w:tc>
        <w:tc>
          <w:tcPr>
            <w:tcW w:type="dxa" w:w="2381"/>
          </w:tcPr>
          <w:p>
            <w:pPr>
              <w:jc w:val="center"/>
            </w:pPr>
            <w:r/>
            <w:r>
              <w:rPr>
                <w:rFonts w:ascii="Times New Roman" w:hAnsi="Times New Roman" w:eastAsia="宋体"/>
                <w:b w:val="0"/>
                <w:sz w:val="21"/>
              </w:rPr>
              <w:t>未接入模型，待测</w:t>
            </w:r>
          </w:p>
        </w:tc>
        <w:tc>
          <w:tcPr>
            <w:tcW w:type="dxa" w:w="1134"/>
          </w:tcPr>
          <w:p>
            <w:pPr>
              <w:jc w:val="center"/>
            </w:pPr>
            <w:r/>
            <w:r>
              <w:rPr>
                <w:rFonts w:ascii="Times New Roman" w:hAnsi="Times New Roman" w:eastAsia="宋体"/>
                <w:b w:val="0"/>
                <w:sz w:val="21"/>
              </w:rPr>
              <w:t>待测</w:t>
            </w:r>
          </w:p>
        </w:tc>
      </w:tr>
      <w:tr>
        <w:tc>
          <w:tcPr>
            <w:tcW w:type="dxa" w:w="3061"/>
          </w:tcPr>
          <w:p>
            <w:pPr>
              <w:jc w:val="left"/>
            </w:pPr>
            <w:r/>
            <w:r>
              <w:rPr>
                <w:rFonts w:ascii="Times New Roman" w:hAnsi="Times New Roman" w:eastAsia="宋体"/>
                <w:b w:val="0"/>
                <w:sz w:val="21"/>
              </w:rPr>
              <w:t>300 名客户 10 个时间步引擎耗时</w:t>
            </w:r>
          </w:p>
        </w:tc>
        <w:tc>
          <w:tcPr>
            <w:tcW w:type="dxa" w:w="1928"/>
          </w:tcPr>
          <w:p>
            <w:pPr>
              <w:jc w:val="center"/>
            </w:pPr>
            <w:r/>
            <w:r>
              <w:rPr>
                <w:rFonts w:ascii="Times New Roman" w:hAnsi="Times New Roman" w:eastAsia="宋体"/>
                <w:b w:val="0"/>
                <w:sz w:val="21"/>
              </w:rPr>
              <w:t>低于 30 秒</w:t>
            </w:r>
          </w:p>
        </w:tc>
        <w:tc>
          <w:tcPr>
            <w:tcW w:type="dxa" w:w="2381"/>
          </w:tcPr>
          <w:p>
            <w:pPr>
              <w:jc w:val="center"/>
            </w:pPr>
            <w:r/>
            <w:r>
              <w:rPr>
                <w:rFonts w:ascii="Times New Roman" w:hAnsi="Times New Roman" w:eastAsia="宋体"/>
                <w:b w:val="0"/>
                <w:sz w:val="21"/>
              </w:rPr>
              <w:t>15.4 毫秒（中位，2026-09-18 实测）</w:t>
            </w:r>
          </w:p>
        </w:tc>
        <w:tc>
          <w:tcPr>
            <w:tcW w:type="dxa" w:w="1134"/>
          </w:tcPr>
          <w:p>
            <w:pPr>
              <w:jc w:val="center"/>
            </w:pPr>
            <w:r/>
            <w:r>
              <w:rPr>
                <w:rFonts w:ascii="Times New Roman" w:hAnsi="Times New Roman" w:eastAsia="宋体"/>
                <w:b w:val="0"/>
                <w:sz w:val="21"/>
              </w:rPr>
              <w:t>通过</w:t>
            </w:r>
          </w:p>
        </w:tc>
      </w:tr>
      <w:tr>
        <w:tc>
          <w:tcPr>
            <w:tcW w:type="dxa" w:w="3061"/>
          </w:tcPr>
          <w:p>
            <w:pPr>
              <w:jc w:val="left"/>
            </w:pPr>
            <w:r/>
            <w:r>
              <w:rPr>
                <w:rFonts w:ascii="Times New Roman" w:hAnsi="Times New Roman" w:eastAsia="宋体"/>
                <w:b w:val="0"/>
                <w:sz w:val="21"/>
              </w:rPr>
              <w:t>1000 名客户 20 个时间步引擎耗时</w:t>
            </w:r>
          </w:p>
        </w:tc>
        <w:tc>
          <w:tcPr>
            <w:tcW w:type="dxa" w:w="1928"/>
          </w:tcPr>
          <w:p>
            <w:pPr>
              <w:jc w:val="center"/>
            </w:pPr>
            <w:r/>
            <w:r>
              <w:rPr>
                <w:rFonts w:ascii="Times New Roman" w:hAnsi="Times New Roman" w:eastAsia="宋体"/>
                <w:b w:val="0"/>
                <w:sz w:val="21"/>
              </w:rPr>
              <w:t>低于 30 秒</w:t>
            </w:r>
          </w:p>
        </w:tc>
        <w:tc>
          <w:tcPr>
            <w:tcW w:type="dxa" w:w="2381"/>
          </w:tcPr>
          <w:p>
            <w:pPr>
              <w:jc w:val="center"/>
            </w:pPr>
            <w:r/>
            <w:r>
              <w:rPr>
                <w:rFonts w:ascii="Times New Roman" w:hAnsi="Times New Roman" w:eastAsia="宋体"/>
                <w:b w:val="0"/>
                <w:sz w:val="21"/>
              </w:rPr>
              <w:t>72.0 毫秒（中位，2026-09-18 实测）</w:t>
            </w:r>
          </w:p>
        </w:tc>
        <w:tc>
          <w:tcPr>
            <w:tcW w:type="dxa" w:w="1134"/>
          </w:tcPr>
          <w:p>
            <w:pPr>
              <w:jc w:val="center"/>
            </w:pPr>
            <w:r/>
            <w:r>
              <w:rPr>
                <w:rFonts w:ascii="Times New Roman" w:hAnsi="Times New Roman" w:eastAsia="宋体"/>
                <w:b w:val="0"/>
                <w:sz w:val="21"/>
              </w:rPr>
              <w:t>通过</w:t>
            </w:r>
          </w:p>
        </w:tc>
      </w:tr>
      <w:tr>
        <w:tc>
          <w:tcPr>
            <w:tcW w:type="dxa" w:w="3061"/>
          </w:tcPr>
          <w:p>
            <w:pPr>
              <w:jc w:val="left"/>
            </w:pPr>
            <w:r/>
            <w:r>
              <w:rPr>
                <w:rFonts w:ascii="Times New Roman" w:hAnsi="Times New Roman" w:eastAsia="宋体"/>
                <w:b w:val="0"/>
                <w:sz w:val="21"/>
              </w:rPr>
              <w:t>沟通策略夺冠分布与权重敏感性</w:t>
            </w:r>
          </w:p>
        </w:tc>
        <w:tc>
          <w:tcPr>
            <w:tcW w:type="dxa" w:w="1928"/>
          </w:tcPr>
          <w:p>
            <w:pPr>
              <w:jc w:val="center"/>
            </w:pPr>
            <w:r/>
            <w:r>
              <w:rPr>
                <w:rFonts w:ascii="Times New Roman" w:hAnsi="Times New Roman" w:eastAsia="宋体"/>
                <w:b w:val="0"/>
                <w:sz w:val="21"/>
              </w:rPr>
              <w:t>记录值</w:t>
            </w:r>
          </w:p>
        </w:tc>
        <w:tc>
          <w:tcPr>
            <w:tcW w:type="dxa" w:w="2381"/>
          </w:tcPr>
          <w:p>
            <w:pPr>
              <w:jc w:val="center"/>
            </w:pPr>
            <w:r/>
            <w:r>
              <w:rPr>
                <w:rFonts w:ascii="Times New Roman" w:hAnsi="Times New Roman" w:eastAsia="宋体"/>
                <w:b w:val="0"/>
                <w:sz w:val="21"/>
              </w:rPr>
              <w:t>48.9% / 26.3% / 24.8%（权重从 2 调到 0 时变为 1.3% / 84.8% / 14.0%）</w:t>
            </w:r>
          </w:p>
        </w:tc>
        <w:tc>
          <w:tcPr>
            <w:tcW w:type="dxa" w:w="1134"/>
          </w:tcPr>
          <w:p>
            <w:pPr>
              <w:jc w:val="center"/>
            </w:pPr>
            <w:r/>
            <w:r>
              <w:rPr>
                <w:rFonts w:ascii="Times New Roman" w:hAnsi="Times New Roman" w:eastAsia="宋体"/>
                <w:b w:val="0"/>
                <w:sz w:val="21"/>
              </w:rPr>
              <w:t>通过</w:t>
            </w:r>
          </w:p>
        </w:tc>
      </w:tr>
      <w:tr>
        <w:tc>
          <w:tcPr>
            <w:tcW w:type="dxa" w:w="3061"/>
          </w:tcPr>
          <w:p>
            <w:pPr>
              <w:jc w:val="left"/>
            </w:pPr>
            <w:r/>
            <w:r>
              <w:rPr>
                <w:rFonts w:ascii="Times New Roman" w:hAnsi="Times New Roman" w:eastAsia="宋体"/>
                <w:b w:val="0"/>
                <w:sz w:val="21"/>
              </w:rPr>
              <w:t>相同场景与种子复现</w:t>
            </w:r>
          </w:p>
        </w:tc>
        <w:tc>
          <w:tcPr>
            <w:tcW w:type="dxa" w:w="1928"/>
          </w:tcPr>
          <w:p>
            <w:pPr>
              <w:jc w:val="center"/>
            </w:pPr>
            <w:r/>
            <w:r>
              <w:rPr>
                <w:rFonts w:ascii="Times New Roman" w:hAnsi="Times New Roman" w:eastAsia="宋体"/>
                <w:b w:val="0"/>
                <w:sz w:val="21"/>
              </w:rPr>
              <w:t>聚合签名一致</w:t>
            </w:r>
          </w:p>
        </w:tc>
        <w:tc>
          <w:tcPr>
            <w:tcW w:type="dxa" w:w="2381"/>
          </w:tcPr>
          <w:p>
            <w:pPr>
              <w:jc w:val="center"/>
            </w:pPr>
            <w:r/>
            <w:r>
              <w:rPr>
                <w:rFonts w:ascii="Times New Roman" w:hAnsi="Times New Roman" w:eastAsia="宋体"/>
                <w:b w:val="0"/>
                <w:sz w:val="21"/>
              </w:rPr>
              <w:t>一致</w:t>
            </w:r>
          </w:p>
        </w:tc>
        <w:tc>
          <w:tcPr>
            <w:tcW w:type="dxa" w:w="1134"/>
          </w:tcPr>
          <w:p>
            <w:pPr>
              <w:jc w:val="center"/>
            </w:pPr>
            <w:r/>
            <w:r>
              <w:rPr>
                <w:rFonts w:ascii="Times New Roman" w:hAnsi="Times New Roman" w:eastAsia="宋体"/>
                <w:b w:val="0"/>
                <w:sz w:val="21"/>
              </w:rPr>
              <w:t>通过</w:t>
            </w:r>
          </w:p>
        </w:tc>
      </w:tr>
      <w:tr>
        <w:tc>
          <w:tcPr>
            <w:tcW w:type="dxa" w:w="3061"/>
          </w:tcPr>
          <w:p>
            <w:pPr>
              <w:jc w:val="left"/>
            </w:pPr>
            <w:r/>
            <w:r>
              <w:rPr>
                <w:rFonts w:ascii="Times New Roman" w:hAnsi="Times New Roman" w:eastAsia="宋体"/>
                <w:b w:val="0"/>
                <w:sz w:val="21"/>
              </w:rPr>
              <w:t>跌幅由 10% 增至 30%</w:t>
            </w:r>
          </w:p>
        </w:tc>
        <w:tc>
          <w:tcPr>
            <w:tcW w:type="dxa" w:w="1928"/>
          </w:tcPr>
          <w:p>
            <w:pPr>
              <w:jc w:val="center"/>
            </w:pPr>
            <w:r/>
            <w:r>
              <w:rPr>
                <w:rFonts w:ascii="Times New Roman" w:hAnsi="Times New Roman" w:eastAsia="宋体"/>
                <w:b w:val="0"/>
                <w:sz w:val="21"/>
              </w:rPr>
              <w:t>恐慌、卖出、流失不反向下降</w:t>
            </w:r>
          </w:p>
        </w:tc>
        <w:tc>
          <w:tcPr>
            <w:tcW w:type="dxa" w:w="2381"/>
          </w:tcPr>
          <w:p>
            <w:pPr>
              <w:jc w:val="center"/>
            </w:pPr>
            <w:r/>
            <w:r>
              <w:rPr>
                <w:rFonts w:ascii="Times New Roman" w:hAnsi="Times New Roman" w:eastAsia="宋体"/>
                <w:b w:val="0"/>
                <w:sz w:val="21"/>
              </w:rPr>
              <w:t>单调成立</w:t>
            </w:r>
          </w:p>
        </w:tc>
        <w:tc>
          <w:tcPr>
            <w:tcW w:type="dxa" w:w="1134"/>
          </w:tcPr>
          <w:p>
            <w:pPr>
              <w:jc w:val="center"/>
            </w:pPr>
            <w:r/>
            <w:r>
              <w:rPr>
                <w:rFonts w:ascii="Times New Roman" w:hAnsi="Times New Roman" w:eastAsia="宋体"/>
                <w:b w:val="0"/>
                <w:sz w:val="21"/>
              </w:rPr>
              <w:t>通过</w:t>
            </w:r>
          </w:p>
        </w:tc>
      </w:tr>
      <w:tr>
        <w:tc>
          <w:tcPr>
            <w:tcW w:type="dxa" w:w="3061"/>
          </w:tcPr>
          <w:p>
            <w:pPr>
              <w:jc w:val="left"/>
            </w:pPr>
            <w:r/>
            <w:r>
              <w:rPr>
                <w:rFonts w:ascii="Times New Roman" w:hAnsi="Times New Roman" w:eastAsia="宋体"/>
                <w:b w:val="0"/>
                <w:sz w:val="21"/>
              </w:rPr>
              <w:t>持续时间由 24 小时增至 72 小时</w:t>
            </w:r>
          </w:p>
        </w:tc>
        <w:tc>
          <w:tcPr>
            <w:tcW w:type="dxa" w:w="1928"/>
          </w:tcPr>
          <w:p>
            <w:pPr>
              <w:jc w:val="center"/>
            </w:pPr>
            <w:r/>
            <w:r>
              <w:rPr>
                <w:rFonts w:ascii="Times New Roman" w:hAnsi="Times New Roman" w:eastAsia="宋体"/>
                <w:b w:val="0"/>
                <w:sz w:val="21"/>
              </w:rPr>
              <w:t>峰值不下降</w:t>
            </w:r>
          </w:p>
        </w:tc>
        <w:tc>
          <w:tcPr>
            <w:tcW w:type="dxa" w:w="2381"/>
          </w:tcPr>
          <w:p>
            <w:pPr>
              <w:jc w:val="center"/>
            </w:pPr>
            <w:r/>
            <w:r>
              <w:rPr>
                <w:rFonts w:ascii="Times New Roman" w:hAnsi="Times New Roman" w:eastAsia="宋体"/>
                <w:b w:val="0"/>
                <w:sz w:val="21"/>
              </w:rPr>
              <w:t>19.3% 增至 19.8%</w:t>
            </w:r>
          </w:p>
        </w:tc>
        <w:tc>
          <w:tcPr>
            <w:tcW w:type="dxa" w:w="1134"/>
          </w:tcPr>
          <w:p>
            <w:pPr>
              <w:jc w:val="center"/>
            </w:pPr>
            <w:r/>
            <w:r>
              <w:rPr>
                <w:rFonts w:ascii="Times New Roman" w:hAnsi="Times New Roman" w:eastAsia="宋体"/>
                <w:b w:val="0"/>
                <w:sz w:val="21"/>
              </w:rPr>
              <w:t>通过</w:t>
            </w:r>
          </w:p>
        </w:tc>
      </w:tr>
      <w:tr>
        <w:tc>
          <w:tcPr>
            <w:tcW w:type="dxa" w:w="3061"/>
          </w:tcPr>
          <w:p>
            <w:pPr>
              <w:jc w:val="left"/>
            </w:pPr>
            <w:r/>
            <w:r>
              <w:rPr>
                <w:rFonts w:ascii="Times New Roman" w:hAnsi="Times New Roman" w:eastAsia="宋体"/>
                <w:b w:val="0"/>
                <w:sz w:val="21"/>
              </w:rPr>
              <w:t>禁止性合规样例召回率</w:t>
            </w:r>
          </w:p>
        </w:tc>
        <w:tc>
          <w:tcPr>
            <w:tcW w:type="dxa" w:w="1928"/>
          </w:tcPr>
          <w:p>
            <w:pPr>
              <w:jc w:val="center"/>
            </w:pPr>
            <w:r/>
            <w:r>
              <w:rPr>
                <w:rFonts w:ascii="Times New Roman" w:hAnsi="Times New Roman" w:eastAsia="宋体"/>
                <w:b w:val="0"/>
                <w:sz w:val="21"/>
              </w:rPr>
              <w:t>不低于 95%</w:t>
            </w:r>
          </w:p>
        </w:tc>
        <w:tc>
          <w:tcPr>
            <w:tcW w:type="dxa" w:w="2381"/>
          </w:tcPr>
          <w:p>
            <w:pPr>
              <w:jc w:val="center"/>
            </w:pPr>
            <w:r/>
            <w:r>
              <w:rPr>
                <w:rFonts w:ascii="Times New Roman" w:hAnsi="Times New Roman" w:eastAsia="宋体"/>
                <w:b w:val="0"/>
                <w:sz w:val="21"/>
              </w:rPr>
              <w:t>100%</w:t>
            </w:r>
          </w:p>
        </w:tc>
        <w:tc>
          <w:tcPr>
            <w:tcW w:type="dxa" w:w="1134"/>
          </w:tcPr>
          <w:p>
            <w:pPr>
              <w:jc w:val="center"/>
            </w:pPr>
            <w:r/>
            <w:r>
              <w:rPr>
                <w:rFonts w:ascii="Times New Roman" w:hAnsi="Times New Roman" w:eastAsia="宋体"/>
                <w:b w:val="0"/>
                <w:sz w:val="21"/>
              </w:rPr>
              <w:t>通过</w:t>
            </w:r>
          </w:p>
        </w:tc>
      </w:tr>
      <w:tr>
        <w:tc>
          <w:tcPr>
            <w:tcW w:type="dxa" w:w="3061"/>
          </w:tcPr>
          <w:p>
            <w:pPr>
              <w:jc w:val="left"/>
            </w:pPr>
            <w:r/>
            <w:r>
              <w:rPr>
                <w:rFonts w:ascii="Times New Roman" w:hAnsi="Times New Roman" w:eastAsia="宋体"/>
                <w:b w:val="0"/>
                <w:sz w:val="21"/>
              </w:rPr>
              <w:t>待复核合规样例召回率</w:t>
            </w:r>
          </w:p>
        </w:tc>
        <w:tc>
          <w:tcPr>
            <w:tcW w:type="dxa" w:w="1928"/>
          </w:tcPr>
          <w:p>
            <w:pPr>
              <w:jc w:val="center"/>
            </w:pPr>
            <w:r/>
            <w:r>
              <w:rPr>
                <w:rFonts w:ascii="Times New Roman" w:hAnsi="Times New Roman" w:eastAsia="宋体"/>
                <w:b w:val="0"/>
                <w:sz w:val="21"/>
              </w:rPr>
              <w:t>记录值</w:t>
            </w:r>
          </w:p>
        </w:tc>
        <w:tc>
          <w:tcPr>
            <w:tcW w:type="dxa" w:w="2381"/>
          </w:tcPr>
          <w:p>
            <w:pPr>
              <w:jc w:val="center"/>
            </w:pPr>
            <w:r/>
            <w:r>
              <w:rPr>
                <w:rFonts w:ascii="Times New Roman" w:hAnsi="Times New Roman" w:eastAsia="宋体"/>
                <w:b w:val="0"/>
                <w:sz w:val="21"/>
              </w:rPr>
              <w:t>90%</w:t>
            </w:r>
          </w:p>
        </w:tc>
        <w:tc>
          <w:tcPr>
            <w:tcW w:type="dxa" w:w="1134"/>
          </w:tcPr>
          <w:p>
            <w:pPr>
              <w:jc w:val="center"/>
            </w:pPr>
            <w:r/>
            <w:r>
              <w:rPr>
                <w:rFonts w:ascii="Times New Roman" w:hAnsi="Times New Roman" w:eastAsia="宋体"/>
                <w:b w:val="0"/>
                <w:sz w:val="21"/>
              </w:rPr>
              <w:t>通过</w:t>
            </w:r>
          </w:p>
        </w:tc>
      </w:tr>
      <w:tr>
        <w:tc>
          <w:tcPr>
            <w:tcW w:type="dxa" w:w="3061"/>
          </w:tcPr>
          <w:p>
            <w:pPr>
              <w:jc w:val="left"/>
            </w:pPr>
            <w:r/>
            <w:r>
              <w:rPr>
                <w:rFonts w:ascii="Times New Roman" w:hAnsi="Times New Roman" w:eastAsia="宋体"/>
                <w:b w:val="0"/>
                <w:sz w:val="21"/>
              </w:rPr>
              <w:t>合规误拦截率</w:t>
            </w:r>
          </w:p>
        </w:tc>
        <w:tc>
          <w:tcPr>
            <w:tcW w:type="dxa" w:w="1928"/>
          </w:tcPr>
          <w:p>
            <w:pPr>
              <w:jc w:val="center"/>
            </w:pPr>
            <w:r/>
            <w:r>
              <w:rPr>
                <w:rFonts w:ascii="Times New Roman" w:hAnsi="Times New Roman" w:eastAsia="宋体"/>
                <w:b w:val="0"/>
                <w:sz w:val="21"/>
              </w:rPr>
              <w:t>不高于 10%</w:t>
            </w:r>
          </w:p>
        </w:tc>
        <w:tc>
          <w:tcPr>
            <w:tcW w:type="dxa" w:w="2381"/>
          </w:tcPr>
          <w:p>
            <w:pPr>
              <w:jc w:val="center"/>
            </w:pPr>
            <w:r/>
            <w:r>
              <w:rPr>
                <w:rFonts w:ascii="Times New Roman" w:hAnsi="Times New Roman" w:eastAsia="宋体"/>
                <w:b w:val="0"/>
                <w:sz w:val="21"/>
              </w:rPr>
              <w:t>0%</w:t>
            </w:r>
          </w:p>
        </w:tc>
        <w:tc>
          <w:tcPr>
            <w:tcW w:type="dxa" w:w="1134"/>
          </w:tcPr>
          <w:p>
            <w:pPr>
              <w:jc w:val="center"/>
            </w:pPr>
            <w:r/>
            <w:r>
              <w:rPr>
                <w:rFonts w:ascii="Times New Roman" w:hAnsi="Times New Roman" w:eastAsia="宋体"/>
                <w:b w:val="0"/>
                <w:sz w:val="21"/>
              </w:rPr>
              <w:t>通过</w:t>
            </w:r>
          </w:p>
        </w:tc>
      </w:tr>
      <w:tr>
        <w:tc>
          <w:tcPr>
            <w:tcW w:type="dxa" w:w="3061"/>
          </w:tcPr>
          <w:p>
            <w:pPr>
              <w:jc w:val="left"/>
            </w:pPr>
            <w:r/>
            <w:r>
              <w:rPr>
                <w:rFonts w:ascii="Times New Roman" w:hAnsi="Times New Roman" w:eastAsia="宋体"/>
                <w:b w:val="0"/>
                <w:sz w:val="21"/>
              </w:rPr>
              <w:t>首次进度反馈</w:t>
            </w:r>
          </w:p>
        </w:tc>
        <w:tc>
          <w:tcPr>
            <w:tcW w:type="dxa" w:w="1928"/>
          </w:tcPr>
          <w:p>
            <w:pPr>
              <w:jc w:val="center"/>
            </w:pPr>
            <w:r/>
            <w:r>
              <w:rPr>
                <w:rFonts w:ascii="Times New Roman" w:hAnsi="Times New Roman" w:eastAsia="宋体"/>
                <w:b w:val="0"/>
                <w:sz w:val="21"/>
              </w:rPr>
              <w:t>低于 2 秒</w:t>
            </w:r>
          </w:p>
        </w:tc>
        <w:tc>
          <w:tcPr>
            <w:tcW w:type="dxa" w:w="2381"/>
          </w:tcPr>
          <w:p>
            <w:pPr>
              <w:jc w:val="center"/>
            </w:pPr>
            <w:r/>
            <w:r>
              <w:rPr>
                <w:rFonts w:ascii="Times New Roman" w:hAnsi="Times New Roman" w:eastAsia="宋体"/>
                <w:b w:val="0"/>
                <w:sz w:val="21"/>
              </w:rPr>
              <w:t>346 毫秒（2026-09-18 实测）</w:t>
            </w:r>
          </w:p>
        </w:tc>
        <w:tc>
          <w:tcPr>
            <w:tcW w:type="dxa" w:w="1134"/>
          </w:tcPr>
          <w:p>
            <w:pPr>
              <w:jc w:val="center"/>
            </w:pPr>
            <w:r/>
            <w:r>
              <w:rPr>
                <w:rFonts w:ascii="Times New Roman" w:hAnsi="Times New Roman" w:eastAsia="宋体"/>
                <w:b w:val="0"/>
                <w:sz w:val="21"/>
              </w:rPr>
              <w:t>通过</w:t>
            </w:r>
          </w:p>
        </w:tc>
      </w:tr>
    </w:tbl>
    <w:p>
      <w:pPr>
        <w:spacing w:before="80" w:after="240"/>
        <w:jc w:val="center"/>
      </w:pPr>
      <w:r>
        <w:rPr>
          <w:rFonts w:ascii="微软雅黑" w:hAnsi="微软雅黑" w:eastAsia="微软雅黑"/>
          <w:b w:val="0"/>
          <w:color w:val="475569"/>
          <w:sz w:val="21"/>
        </w:rPr>
        <w:t>表 3 验收指标对照（版本 v0.2.0，规则版本 compliance-rules@2026.09，种子 20260830）</w:t>
      </w:r>
    </w:p>
    <w:p>
      <w:pPr>
        <w:spacing w:before="200" w:after="120"/>
      </w:pPr>
      <w:r>
        <w:rPr>
          <w:rFonts w:ascii="微软雅黑" w:hAnsi="微软雅黑" w:eastAsia="微软雅黑"/>
          <w:b/>
          <w:color w:val="1E3A8A"/>
          <w:sz w:val="27"/>
        </w:rPr>
        <w:t>4.3 沟通策略建模与推荐</w:t>
      </w:r>
    </w:p>
    <w:p>
      <w:pPr>
        <w:spacing w:after="120" w:line="360" w:lineRule="auto"/>
        <w:ind w:firstLine="480"/>
      </w:pPr>
      <w:r>
        <w:rPr>
          <w:rFonts w:ascii="Times New Roman" w:hAnsi="Times New Roman" w:eastAsia="宋体"/>
          <w:b w:val="0"/>
          <w:sz w:val="24"/>
        </w:rPr>
        <w:t>三套沟通策略（不主动沟通、统一风险提示、分群差异化沟通）由三个可调杠杆定义，其余引擎参数由杠杆推导，避免出现互相矛盾的独立常数：触达覆盖率决定事件窗口内最终能触达的客户比例；人工深度从纯自动消息到逐人人工沟通，决定人工作业的爬坡步数与单位成本；内容个性化决定通用话术对风险两端客户的失配程度。安抚只对被真正触达的客户生效，即逐客户门控，因此覆盖率是真实输入而不是展示用数字。</w:t>
      </w:r>
    </w:p>
    <w:p>
      <w:pPr>
        <w:spacing w:after="120" w:line="360" w:lineRule="auto"/>
        <w:ind w:firstLine="480"/>
      </w:pPr>
      <w:r>
        <w:rPr>
          <w:rFonts w:ascii="Times New Roman" w:hAnsi="Times New Roman" w:eastAsia="宋体"/>
          <w:b w:val="0"/>
          <w:sz w:val="24"/>
        </w:rPr>
        <w:t>推荐顺序由净效用在每个场景里算出来，不是由常数写死的：净效用 = 避险收益 − 触达成本 − 唤醒成本，其中避险收益以「不主动沟通」为参照系，由恐慌峰值、卖出、流失与投诉四项改善加权得到；触达成本按人工深度折算，一次人工沟通的等效成本约为一条自动消息的数十倍；唤醒成本刻画主动触达本身惊动平静客户的代价。效用权重可由业务目标决定，例如预算收紧时提高成本权重，推荐会自动从深度干预移开。</w:t>
      </w:r>
    </w:p>
    <w:p>
      <w:pPr>
        <w:spacing w:after="120" w:line="360" w:lineRule="auto"/>
        <w:ind w:firstLine="480"/>
      </w:pPr>
      <w:r>
        <w:rPr>
          <w:rFonts w:ascii="Times New Roman" w:hAnsi="Times New Roman" w:eastAsia="宋体"/>
          <w:b w:val="0"/>
          <w:sz w:val="24"/>
        </w:rPr>
        <w:t>三套锚点只是「触达覆盖率 × 人工深度 × 内容个性化」参数空间里的三个点，引擎另外在该空间做网格搜索，给出净效用更高的参数组合。默认场景下搜索结果优于全部三套锚点，界面会同时展示网格评估点数、最优组合与效用的三项归因分解，便于业务方核对推荐理由。</w:t>
      </w:r>
    </w:p>
    <w:p>
      <w:pPr>
        <w:spacing w:after="120" w:line="360" w:lineRule="auto"/>
        <w:ind w:firstLine="480"/>
      </w:pPr>
      <w:r>
        <w:rPr>
          <w:rFonts w:ascii="Times New Roman" w:hAnsi="Times New Roman" w:eastAsia="宋体"/>
          <w:b w:val="0"/>
          <w:sz w:val="24"/>
        </w:rPr>
        <w:t>为验证这套建模确实让结论随场景变化，我们做了 630 个场景的验收扫描（跌幅 7 档、时长 5 档、步数 3 档、随机种子 3 个、客群口径 2 种）。需要如实区分两类结论。第一类是与效用权重无关的结构性质，这是我们的主要验收对象：跌幅越大、推荐方案的人工深度不下降（90 条场景序列零违反）；微跌（5%）不推荐高人工深度方案；重挫（50%）不推荐放弃触达的方案；同种子完全复现；每次推荐都带三项归因分解。这些性质在设计上要求跨权重成立，因此可以失败、有信息量；实测它们在默认与中等效用权重下全部成立，在极端打扰权重下存在一处已定位的边界，见下文。第二类是与效用权重相关的夺冠配比：三种锚点各自夺冠 48.9%、26.3%、24.8%，但这是业务效用权重的函数而不是引擎的固有性质——把唤醒权重从 2 调到 0，不主动沟通的夺冠占比会从 48.9% 降到 1.3%。因此本申报书只把配比连同权重敏感性曲面一起引用，不作为「结论不写死」的证据。已知边界：把打扰权重取到极端值（8）且时长压到 6 小时时，40% 到 50% 的区间会出现一次深度回落，推荐由分群沟通回到统一风险提示。实测机制是：唤醒罚分本身随恐慌上升而衰减（wake = 唤醒系数 × (1 − 上一步恐慌) × 本步新增触达），而 λ_wake 把它放大了 8 倍；广播式的唤醒基数更大，因此衰减带来的减负也更多（实测 50% 档广播式的唤醒罚分比 40% 档低约 42%），而人工成本不随恐慌衰减，于是推荐在高冲击档翻回低成本的广播式。需要特别指出：恐慌并未饱和（该场景峰值约 58%–84%（扫描脚本同组参数下 40% 档为 57.5%/62.5%/68.4%，50% 档为 70.4%/76.5%/83.8%），明显低于上限 1.0），因此这**不是**饱和效应。该配置不属于默认口径，已记录为模型迭代项；唤醒项是否应改为不随恐慌衰减，属于待评估的建模选择。此外重构前三套策略在 840 个场景中由分群沟通 100% 夺冠，排序由常数写死，本轮是针对这一缺陷的重做。</w:t>
      </w:r>
    </w:p>
    <w:p>
      <w:pPr>
        <w:spacing w:before="200" w:after="120"/>
      </w:pPr>
      <w:r>
        <w:rPr>
          <w:rFonts w:ascii="微软雅黑" w:hAnsi="微软雅黑" w:eastAsia="微软雅黑"/>
          <w:b/>
          <w:color w:val="1E3A8A"/>
          <w:sz w:val="27"/>
        </w:rPr>
        <w:t>4.4 参数敏感性</w:t>
      </w:r>
    </w:p>
    <w:p>
      <w:pPr>
        <w:spacing w:after="120" w:line="360" w:lineRule="auto"/>
        <w:ind w:firstLine="480"/>
      </w:pPr>
      <w:r>
        <w:rPr>
          <w:rFonts w:ascii="Times New Roman" w:hAnsi="Times New Roman" w:eastAsia="宋体"/>
          <w:b w:val="0"/>
          <w:sz w:val="24"/>
        </w:rPr>
        <w:t>市场跌幅必须真实影响模拟结果，这是本项目的核心验收要求。在固定种子与固定策略的条件下，跌幅从 10% 增至 30% 时，不主动沟通情形下的恐慌峰值由 19.3% 升至 52.4%，卖出倾向由 6.1% 升至 23.3%，流失风险由 13.6% 升至 15.8%，三项指标均未出现反向下降。同一区间内推荐策略由「不主动沟通」切换为「统一风险提示」，说明推荐结果对冲击强度敏感。需要如实说明的是：分群差异化沟通的流失率在 20% 到 30% 之间出现 0.0005 的极小反向波动，量级在千分之一以下，已记录为模型迭代项。</w:t>
      </w:r>
    </w:p>
    <w:tbl>
      <w:tblPr>
        <w:tblStyle w:val="TableGrid"/>
        <w:tblW w:type="auto" w:w="0"/>
        <w:jc w:val="center"/>
        <w:tblLook w:firstColumn="1" w:firstRow="1" w:lastColumn="0" w:lastRow="0" w:noHBand="0" w:noVBand="1" w:val="04A0"/>
      </w:tblPr>
      <w:tblGrid>
        <w:gridCol w:w="1455"/>
        <w:gridCol w:w="1455"/>
        <w:gridCol w:w="1455"/>
        <w:gridCol w:w="1455"/>
        <w:gridCol w:w="1455"/>
        <w:gridCol w:w="1455"/>
      </w:tblGrid>
      <w:tr>
        <w:tc>
          <w:tcPr>
            <w:tcW w:type="dxa" w:w="1361"/>
          </w:tcPr>
          <w:p>
            <w:pPr>
              <w:jc w:val="center"/>
            </w:pPr>
            <w:r/>
            <w:r>
              <w:rPr>
                <w:rFonts w:ascii="微软雅黑" w:hAnsi="微软雅黑" w:eastAsia="微软雅黑"/>
                <w:b/>
                <w:sz w:val="21"/>
              </w:rPr>
              <w:t>市场跌幅</w:t>
            </w:r>
          </w:p>
        </w:tc>
        <w:tc>
          <w:tcPr>
            <w:tcW w:type="dxa" w:w="1814"/>
          </w:tcPr>
          <w:p>
            <w:pPr>
              <w:jc w:val="center"/>
            </w:pPr>
            <w:r/>
            <w:r>
              <w:rPr>
                <w:rFonts w:ascii="微软雅黑" w:hAnsi="微软雅黑" w:eastAsia="微软雅黑"/>
                <w:b/>
                <w:sz w:val="21"/>
              </w:rPr>
              <w:t>推荐策略</w:t>
            </w:r>
          </w:p>
        </w:tc>
        <w:tc>
          <w:tcPr>
            <w:tcW w:type="dxa" w:w="1814"/>
          </w:tcPr>
          <w:p>
            <w:pPr>
              <w:jc w:val="center"/>
            </w:pPr>
            <w:r/>
            <w:r>
              <w:rPr>
                <w:rFonts w:ascii="微软雅黑" w:hAnsi="微软雅黑" w:eastAsia="微软雅黑"/>
                <w:b/>
                <w:sz w:val="21"/>
              </w:rPr>
              <w:t>推荐策略恐慌峰值</w:t>
            </w:r>
          </w:p>
        </w:tc>
        <w:tc>
          <w:tcPr>
            <w:tcW w:type="dxa" w:w="1587"/>
          </w:tcPr>
          <w:p>
            <w:pPr>
              <w:jc w:val="center"/>
            </w:pPr>
            <w:r/>
            <w:r>
              <w:rPr>
                <w:rFonts w:ascii="微软雅黑" w:hAnsi="微软雅黑" w:eastAsia="微软雅黑"/>
                <w:b/>
                <w:sz w:val="21"/>
              </w:rPr>
              <w:t>基线恐慌峰值</w:t>
            </w:r>
          </w:p>
        </w:tc>
        <w:tc>
          <w:tcPr>
            <w:tcW w:type="dxa" w:w="1587"/>
          </w:tcPr>
          <w:p>
            <w:pPr>
              <w:jc w:val="center"/>
            </w:pPr>
            <w:r/>
            <w:r>
              <w:rPr>
                <w:rFonts w:ascii="微软雅黑" w:hAnsi="微软雅黑" w:eastAsia="微软雅黑"/>
                <w:b/>
                <w:sz w:val="21"/>
              </w:rPr>
              <w:t>基线卖出倾向</w:t>
            </w:r>
          </w:p>
        </w:tc>
        <w:tc>
          <w:tcPr>
            <w:tcW w:type="dxa" w:w="1474"/>
          </w:tcPr>
          <w:p>
            <w:pPr>
              <w:jc w:val="center"/>
            </w:pPr>
            <w:r/>
            <w:r>
              <w:rPr>
                <w:rFonts w:ascii="微软雅黑" w:hAnsi="微软雅黑" w:eastAsia="微软雅黑"/>
                <w:b/>
                <w:sz w:val="21"/>
              </w:rPr>
              <w:t>基线流失风险</w:t>
            </w:r>
          </w:p>
        </w:tc>
      </w:tr>
      <w:tr>
        <w:tc>
          <w:tcPr>
            <w:tcW w:type="dxa" w:w="1361"/>
          </w:tcPr>
          <w:p>
            <w:pPr>
              <w:jc w:val="left"/>
            </w:pPr>
            <w:r/>
            <w:r>
              <w:rPr>
                <w:rFonts w:ascii="Times New Roman" w:hAnsi="Times New Roman" w:eastAsia="宋体"/>
                <w:b w:val="0"/>
                <w:sz w:val="21"/>
              </w:rPr>
              <w:t>10%</w:t>
            </w:r>
          </w:p>
        </w:tc>
        <w:tc>
          <w:tcPr>
            <w:tcW w:type="dxa" w:w="1814"/>
          </w:tcPr>
          <w:p>
            <w:pPr>
              <w:jc w:val="center"/>
            </w:pPr>
            <w:r/>
            <w:r>
              <w:rPr>
                <w:rFonts w:ascii="Times New Roman" w:hAnsi="Times New Roman" w:eastAsia="宋体"/>
                <w:b w:val="0"/>
                <w:sz w:val="21"/>
              </w:rPr>
              <w:t>分群差异化沟通</w:t>
            </w:r>
          </w:p>
        </w:tc>
        <w:tc>
          <w:tcPr>
            <w:tcW w:type="dxa" w:w="1814"/>
          </w:tcPr>
          <w:p>
            <w:pPr>
              <w:jc w:val="center"/>
            </w:pPr>
            <w:r/>
            <w:r>
              <w:rPr>
                <w:rFonts w:ascii="Times New Roman" w:hAnsi="Times New Roman" w:eastAsia="宋体"/>
                <w:b w:val="0"/>
                <w:sz w:val="21"/>
              </w:rPr>
              <w:t>2.6%</w:t>
            </w:r>
          </w:p>
        </w:tc>
        <w:tc>
          <w:tcPr>
            <w:tcW w:type="dxa" w:w="1587"/>
          </w:tcPr>
          <w:p>
            <w:pPr>
              <w:jc w:val="center"/>
            </w:pPr>
            <w:r/>
            <w:r>
              <w:rPr>
                <w:rFonts w:ascii="Times New Roman" w:hAnsi="Times New Roman" w:eastAsia="宋体"/>
                <w:b w:val="0"/>
                <w:sz w:val="21"/>
              </w:rPr>
              <w:t>19.5%</w:t>
            </w:r>
          </w:p>
        </w:tc>
        <w:tc>
          <w:tcPr>
            <w:tcW w:type="dxa" w:w="1587"/>
          </w:tcPr>
          <w:p>
            <w:pPr>
              <w:jc w:val="center"/>
            </w:pPr>
            <w:r/>
            <w:r>
              <w:rPr>
                <w:rFonts w:ascii="Times New Roman" w:hAnsi="Times New Roman" w:eastAsia="宋体"/>
                <w:b w:val="0"/>
                <w:sz w:val="21"/>
              </w:rPr>
              <w:t>5.1%</w:t>
            </w:r>
          </w:p>
        </w:tc>
        <w:tc>
          <w:tcPr>
            <w:tcW w:type="dxa" w:w="1474"/>
          </w:tcPr>
          <w:p>
            <w:pPr>
              <w:jc w:val="center"/>
            </w:pPr>
            <w:r/>
            <w:r>
              <w:rPr>
                <w:rFonts w:ascii="Times New Roman" w:hAnsi="Times New Roman" w:eastAsia="宋体"/>
                <w:b w:val="0"/>
                <w:sz w:val="21"/>
              </w:rPr>
              <w:t>28.3%</w:t>
            </w:r>
          </w:p>
        </w:tc>
      </w:tr>
      <w:tr>
        <w:tc>
          <w:tcPr>
            <w:tcW w:type="dxa" w:w="1361"/>
          </w:tcPr>
          <w:p>
            <w:pPr>
              <w:jc w:val="left"/>
            </w:pPr>
            <w:r/>
            <w:r>
              <w:rPr>
                <w:rFonts w:ascii="Times New Roman" w:hAnsi="Times New Roman" w:eastAsia="宋体"/>
                <w:b w:val="0"/>
                <w:sz w:val="21"/>
              </w:rPr>
              <w:t>20%</w:t>
            </w:r>
          </w:p>
        </w:tc>
        <w:tc>
          <w:tcPr>
            <w:tcW w:type="dxa" w:w="1814"/>
          </w:tcPr>
          <w:p>
            <w:pPr>
              <w:jc w:val="center"/>
            </w:pPr>
            <w:r/>
            <w:r>
              <w:rPr>
                <w:rFonts w:ascii="Times New Roman" w:hAnsi="Times New Roman" w:eastAsia="宋体"/>
                <w:b w:val="0"/>
                <w:sz w:val="21"/>
              </w:rPr>
              <w:t>分群差异化沟通</w:t>
            </w:r>
          </w:p>
        </w:tc>
        <w:tc>
          <w:tcPr>
            <w:tcW w:type="dxa" w:w="1814"/>
          </w:tcPr>
          <w:p>
            <w:pPr>
              <w:jc w:val="center"/>
            </w:pPr>
            <w:r/>
            <w:r>
              <w:rPr>
                <w:rFonts w:ascii="Times New Roman" w:hAnsi="Times New Roman" w:eastAsia="宋体"/>
                <w:b w:val="0"/>
                <w:sz w:val="21"/>
              </w:rPr>
              <w:t>18.1%</w:t>
            </w:r>
          </w:p>
        </w:tc>
        <w:tc>
          <w:tcPr>
            <w:tcW w:type="dxa" w:w="1587"/>
          </w:tcPr>
          <w:p>
            <w:pPr>
              <w:jc w:val="center"/>
            </w:pPr>
            <w:r/>
            <w:r>
              <w:rPr>
                <w:rFonts w:ascii="Times New Roman" w:hAnsi="Times New Roman" w:eastAsia="宋体"/>
                <w:b w:val="0"/>
                <w:sz w:val="21"/>
              </w:rPr>
              <w:t>36.7%</w:t>
            </w:r>
          </w:p>
        </w:tc>
        <w:tc>
          <w:tcPr>
            <w:tcW w:type="dxa" w:w="1587"/>
          </w:tcPr>
          <w:p>
            <w:pPr>
              <w:jc w:val="center"/>
            </w:pPr>
            <w:r/>
            <w:r>
              <w:rPr>
                <w:rFonts w:ascii="Times New Roman" w:hAnsi="Times New Roman" w:eastAsia="宋体"/>
                <w:b w:val="0"/>
                <w:sz w:val="21"/>
              </w:rPr>
              <w:t>10.3%</w:t>
            </w:r>
          </w:p>
        </w:tc>
        <w:tc>
          <w:tcPr>
            <w:tcW w:type="dxa" w:w="1474"/>
          </w:tcPr>
          <w:p>
            <w:pPr>
              <w:jc w:val="center"/>
            </w:pPr>
            <w:r/>
            <w:r>
              <w:rPr>
                <w:rFonts w:ascii="Times New Roman" w:hAnsi="Times New Roman" w:eastAsia="宋体"/>
                <w:b w:val="0"/>
                <w:sz w:val="21"/>
              </w:rPr>
              <w:t>29.1%</w:t>
            </w:r>
          </w:p>
        </w:tc>
      </w:tr>
      <w:tr>
        <w:tc>
          <w:tcPr>
            <w:tcW w:type="dxa" w:w="1361"/>
          </w:tcPr>
          <w:p>
            <w:pPr>
              <w:jc w:val="left"/>
            </w:pPr>
            <w:r/>
            <w:r>
              <w:rPr>
                <w:rFonts w:ascii="Times New Roman" w:hAnsi="Times New Roman" w:eastAsia="宋体"/>
                <w:b w:val="0"/>
                <w:sz w:val="21"/>
              </w:rPr>
              <w:t>30%</w:t>
            </w:r>
          </w:p>
        </w:tc>
        <w:tc>
          <w:tcPr>
            <w:tcW w:type="dxa" w:w="1814"/>
          </w:tcPr>
          <w:p>
            <w:pPr>
              <w:jc w:val="center"/>
            </w:pPr>
            <w:r/>
            <w:r>
              <w:rPr>
                <w:rFonts w:ascii="Times New Roman" w:hAnsi="Times New Roman" w:eastAsia="宋体"/>
                <w:b w:val="0"/>
                <w:sz w:val="21"/>
              </w:rPr>
              <w:t>分群差异化沟通</w:t>
            </w:r>
          </w:p>
        </w:tc>
        <w:tc>
          <w:tcPr>
            <w:tcW w:type="dxa" w:w="1814"/>
          </w:tcPr>
          <w:p>
            <w:pPr>
              <w:jc w:val="center"/>
            </w:pPr>
            <w:r/>
            <w:r>
              <w:rPr>
                <w:rFonts w:ascii="Times New Roman" w:hAnsi="Times New Roman" w:eastAsia="宋体"/>
                <w:b w:val="0"/>
                <w:sz w:val="21"/>
              </w:rPr>
              <w:t>36.1%</w:t>
            </w:r>
          </w:p>
        </w:tc>
        <w:tc>
          <w:tcPr>
            <w:tcW w:type="dxa" w:w="1587"/>
          </w:tcPr>
          <w:p>
            <w:pPr>
              <w:jc w:val="center"/>
            </w:pPr>
            <w:r/>
            <w:r>
              <w:rPr>
                <w:rFonts w:ascii="Times New Roman" w:hAnsi="Times New Roman" w:eastAsia="宋体"/>
                <w:b w:val="0"/>
                <w:sz w:val="21"/>
              </w:rPr>
              <w:t>54.7%</w:t>
            </w:r>
          </w:p>
        </w:tc>
        <w:tc>
          <w:tcPr>
            <w:tcW w:type="dxa" w:w="1587"/>
          </w:tcPr>
          <w:p>
            <w:pPr>
              <w:jc w:val="center"/>
            </w:pPr>
            <w:r/>
            <w:r>
              <w:rPr>
                <w:rFonts w:ascii="Times New Roman" w:hAnsi="Times New Roman" w:eastAsia="宋体"/>
                <w:b w:val="0"/>
                <w:sz w:val="21"/>
              </w:rPr>
              <w:t>22.7%</w:t>
            </w:r>
          </w:p>
        </w:tc>
        <w:tc>
          <w:tcPr>
            <w:tcW w:type="dxa" w:w="1474"/>
          </w:tcPr>
          <w:p>
            <w:pPr>
              <w:jc w:val="center"/>
            </w:pPr>
            <w:r/>
            <w:r>
              <w:rPr>
                <w:rFonts w:ascii="Times New Roman" w:hAnsi="Times New Roman" w:eastAsia="宋体"/>
                <w:b w:val="0"/>
                <w:sz w:val="21"/>
              </w:rPr>
              <w:t>30.3%</w:t>
            </w:r>
          </w:p>
        </w:tc>
      </w:tr>
    </w:tbl>
    <w:p>
      <w:pPr>
        <w:spacing w:before="80" w:after="240"/>
        <w:jc w:val="center"/>
      </w:pPr>
      <w:r>
        <w:rPr>
          <w:rFonts w:ascii="微软雅黑" w:hAnsi="微软雅黑" w:eastAsia="微软雅黑"/>
          <w:b w:val="0"/>
          <w:color w:val="475569"/>
          <w:sz w:val="21"/>
        </w:rPr>
        <w:t>表 4 跌幅敏感性（种子 20260830，300 名客户，10 个时间步）</w:t>
      </w:r>
    </w:p>
    <w:p>
      <w:pPr>
        <w:spacing w:after="120" w:line="360" w:lineRule="auto"/>
        <w:ind w:firstLine="480"/>
      </w:pPr>
      <w:r>
        <w:rPr>
          <w:rFonts w:ascii="Times New Roman" w:hAnsi="Times New Roman" w:eastAsia="宋体"/>
          <w:b w:val="0"/>
          <w:sz w:val="24"/>
        </w:rPr>
        <w:t>持续时间的处理方式是把总时长映射为每段粒度，并让冲击的持续性随总时长变化。24 小时、48 小时与 72 小时对应每段 2.4、4.8 与 7.2 小时，压力衰减随总时长增长而变慢、峰值相应抬高，不主动沟通情形下的恐慌峰值分别为 19.3%、19.7% 与 19.8%，方向一致且可解释。需要再次说明：在现有参数下压力峰值恒定出现在首个时间步，因此这里的差异体现在峰值高度与衰减速度，而不是峰值位置。</w:t>
      </w:r>
    </w:p>
    <w:p>
      <w:pPr>
        <w:spacing w:before="200" w:after="120"/>
      </w:pPr>
      <w:r>
        <w:rPr>
          <w:rFonts w:ascii="微软雅黑" w:hAnsi="微软雅黑" w:eastAsia="微软雅黑"/>
          <w:b/>
          <w:color w:val="1E3A8A"/>
          <w:sz w:val="27"/>
        </w:rPr>
        <w:t>4.5 消融实验与对照基线</w:t>
      </w:r>
    </w:p>
    <w:p>
      <w:pPr>
        <w:spacing w:after="120" w:line="360" w:lineRule="auto"/>
        <w:ind w:firstLine="480"/>
      </w:pPr>
      <w:r>
        <w:rPr>
          <w:rFonts w:ascii="Times New Roman" w:hAnsi="Times New Roman" w:eastAsia="宋体"/>
          <w:b w:val="0"/>
          <w:sz w:val="24"/>
        </w:rPr>
        <w:t>为了说明每一层的贡献，引擎提供四个消融开关，分别关闭心理层、传播层、记忆层与合规层，其余条件不变。关闭记忆层时基线恐慌峰值从 19.3% 降至 6.0%，说明跨时间步的情绪留存是恐慌累积的主要来源；关闭传播层时降至 16.3%，相邻客户的情绪传导贡献约 3.0 个百分点；关闭心理层时降至 17.9%。合规层只作用于带违规草稿的策略，因此对基线策略没有影响，但关闭它会让统一风险提示策略的恐慌峰值从 17.3% 上升到 22.7%——统一风险提示的草稿含「务必立即行动」「一定反弹」等违规表达，合规拦截会把这些表达在模拟中的情绪放大通道清除。这正说明合规拦截真实改变了模拟结果，而不只是改写一段展示文本。</w:t>
      </w:r>
    </w:p>
    <w:tbl>
      <w:tblPr>
        <w:tblStyle w:val="TableGrid"/>
        <w:tblW w:type="auto" w:w="0"/>
        <w:jc w:val="center"/>
        <w:tblLook w:firstColumn="1" w:firstRow="1" w:lastColumn="0" w:lastRow="0" w:noHBand="0" w:noVBand="1" w:val="04A0"/>
      </w:tblPr>
      <w:tblGrid>
        <w:gridCol w:w="1247"/>
        <w:gridCol w:w="1247"/>
        <w:gridCol w:w="1247"/>
        <w:gridCol w:w="1247"/>
        <w:gridCol w:w="1247"/>
        <w:gridCol w:w="1247"/>
        <w:gridCol w:w="1247"/>
      </w:tblGrid>
      <w:tr>
        <w:tc>
          <w:tcPr>
            <w:tcW w:type="dxa" w:w="1474"/>
          </w:tcPr>
          <w:p>
            <w:pPr>
              <w:jc w:val="center"/>
            </w:pPr>
            <w:r/>
            <w:r>
              <w:rPr>
                <w:rFonts w:ascii="微软雅黑" w:hAnsi="微软雅黑" w:eastAsia="微软雅黑"/>
                <w:b/>
                <w:sz w:val="21"/>
              </w:rPr>
              <w:t>关闭层</w:t>
            </w:r>
          </w:p>
        </w:tc>
        <w:tc>
          <w:tcPr>
            <w:tcW w:type="dxa" w:w="1134"/>
          </w:tcPr>
          <w:p>
            <w:pPr>
              <w:jc w:val="center"/>
            </w:pPr>
            <w:r/>
            <w:r>
              <w:rPr>
                <w:rFonts w:ascii="微软雅黑" w:hAnsi="微软雅黑" w:eastAsia="微软雅黑"/>
                <w:b/>
                <w:sz w:val="21"/>
              </w:rPr>
              <w:t>基线恐慌峰值</w:t>
            </w:r>
          </w:p>
        </w:tc>
        <w:tc>
          <w:tcPr>
            <w:tcW w:type="dxa" w:w="1077"/>
          </w:tcPr>
          <w:p>
            <w:pPr>
              <w:jc w:val="center"/>
            </w:pPr>
            <w:r/>
            <w:r>
              <w:rPr>
                <w:rFonts w:ascii="微软雅黑" w:hAnsi="微软雅黑" w:eastAsia="微软雅黑"/>
                <w:b/>
                <w:sz w:val="21"/>
              </w:rPr>
              <w:t>基线卖出</w:t>
            </w:r>
          </w:p>
        </w:tc>
        <w:tc>
          <w:tcPr>
            <w:tcW w:type="dxa" w:w="1077"/>
          </w:tcPr>
          <w:p>
            <w:pPr>
              <w:jc w:val="center"/>
            </w:pPr>
            <w:r/>
            <w:r>
              <w:rPr>
                <w:rFonts w:ascii="微软雅黑" w:hAnsi="微软雅黑" w:eastAsia="微软雅黑"/>
                <w:b/>
                <w:sz w:val="21"/>
              </w:rPr>
              <w:t>基线流失</w:t>
            </w:r>
          </w:p>
        </w:tc>
        <w:tc>
          <w:tcPr>
            <w:tcW w:type="dxa" w:w="1304"/>
          </w:tcPr>
          <w:p>
            <w:pPr>
              <w:jc w:val="center"/>
            </w:pPr>
            <w:r/>
            <w:r>
              <w:rPr>
                <w:rFonts w:ascii="微软雅黑" w:hAnsi="微软雅黑" w:eastAsia="微软雅黑"/>
                <w:b/>
                <w:sz w:val="21"/>
              </w:rPr>
              <w:t>Δ恐慌（基线）</w:t>
            </w:r>
          </w:p>
        </w:tc>
        <w:tc>
          <w:tcPr>
            <w:tcW w:type="dxa" w:w="1304"/>
          </w:tcPr>
          <w:p>
            <w:pPr>
              <w:jc w:val="center"/>
            </w:pPr>
            <w:r/>
            <w:r>
              <w:rPr>
                <w:rFonts w:ascii="微软雅黑" w:hAnsi="微软雅黑" w:eastAsia="微软雅黑"/>
                <w:b/>
                <w:sz w:val="21"/>
              </w:rPr>
              <w:t>统一提示恐慌峰值</w:t>
            </w:r>
          </w:p>
        </w:tc>
        <w:tc>
          <w:tcPr>
            <w:tcW w:type="dxa" w:w="1361"/>
          </w:tcPr>
          <w:p>
            <w:pPr>
              <w:jc w:val="center"/>
            </w:pPr>
            <w:r/>
            <w:r>
              <w:rPr>
                <w:rFonts w:ascii="微软雅黑" w:hAnsi="微软雅黑" w:eastAsia="微软雅黑"/>
                <w:b/>
                <w:sz w:val="21"/>
              </w:rPr>
              <w:t>Δ恐慌（统一提示）</w:t>
            </w:r>
          </w:p>
        </w:tc>
      </w:tr>
      <w:tr>
        <w:tc>
          <w:tcPr>
            <w:tcW w:type="dxa" w:w="1474"/>
          </w:tcPr>
          <w:p>
            <w:pPr>
              <w:jc w:val="left"/>
            </w:pPr>
            <w:r/>
            <w:r>
              <w:rPr>
                <w:rFonts w:ascii="Times New Roman" w:hAnsi="Times New Roman" w:eastAsia="宋体"/>
                <w:b w:val="0"/>
                <w:sz w:val="21"/>
              </w:rPr>
              <w:t>完整模型</w:t>
            </w:r>
          </w:p>
        </w:tc>
        <w:tc>
          <w:tcPr>
            <w:tcW w:type="dxa" w:w="1134"/>
          </w:tcPr>
          <w:p>
            <w:pPr>
              <w:jc w:val="center"/>
            </w:pPr>
            <w:r/>
            <w:r>
              <w:rPr>
                <w:rFonts w:ascii="Times New Roman" w:hAnsi="Times New Roman" w:eastAsia="宋体"/>
                <w:b w:val="0"/>
                <w:sz w:val="21"/>
              </w:rPr>
              <w:t>19.3%</w:t>
            </w:r>
          </w:p>
        </w:tc>
        <w:tc>
          <w:tcPr>
            <w:tcW w:type="dxa" w:w="1077"/>
          </w:tcPr>
          <w:p>
            <w:pPr>
              <w:jc w:val="center"/>
            </w:pPr>
            <w:r/>
            <w:r>
              <w:rPr>
                <w:rFonts w:ascii="Times New Roman" w:hAnsi="Times New Roman" w:eastAsia="宋体"/>
                <w:b w:val="0"/>
                <w:sz w:val="21"/>
              </w:rPr>
              <w:t>6.1%</w:t>
            </w:r>
          </w:p>
        </w:tc>
        <w:tc>
          <w:tcPr>
            <w:tcW w:type="dxa" w:w="1077"/>
          </w:tcPr>
          <w:p>
            <w:pPr>
              <w:jc w:val="center"/>
            </w:pPr>
            <w:r/>
            <w:r>
              <w:rPr>
                <w:rFonts w:ascii="Times New Roman" w:hAnsi="Times New Roman" w:eastAsia="宋体"/>
                <w:b w:val="0"/>
                <w:sz w:val="21"/>
              </w:rPr>
              <w:t>13.6%</w:t>
            </w:r>
          </w:p>
        </w:tc>
        <w:tc>
          <w:tcPr>
            <w:tcW w:type="dxa" w:w="1304"/>
          </w:tcPr>
          <w:p>
            <w:pPr>
              <w:jc w:val="center"/>
            </w:pPr>
            <w:r/>
            <w:r>
              <w:rPr>
                <w:rFonts w:ascii="Times New Roman" w:hAnsi="Times New Roman" w:eastAsia="宋体"/>
                <w:b w:val="0"/>
                <w:sz w:val="21"/>
              </w:rPr>
              <w:t>基准</w:t>
            </w:r>
          </w:p>
        </w:tc>
        <w:tc>
          <w:tcPr>
            <w:tcW w:type="dxa" w:w="1304"/>
          </w:tcPr>
          <w:p>
            <w:pPr>
              <w:jc w:val="center"/>
            </w:pPr>
            <w:r/>
            <w:r>
              <w:rPr>
                <w:rFonts w:ascii="Times New Roman" w:hAnsi="Times New Roman" w:eastAsia="宋体"/>
                <w:b w:val="0"/>
                <w:sz w:val="21"/>
              </w:rPr>
              <w:t>17.3%</w:t>
            </w:r>
          </w:p>
        </w:tc>
        <w:tc>
          <w:tcPr>
            <w:tcW w:type="dxa" w:w="1361"/>
          </w:tcPr>
          <w:p>
            <w:pPr>
              <w:jc w:val="center"/>
            </w:pPr>
            <w:r/>
            <w:r>
              <w:rPr>
                <w:rFonts w:ascii="Times New Roman" w:hAnsi="Times New Roman" w:eastAsia="宋体"/>
                <w:b w:val="0"/>
                <w:sz w:val="21"/>
              </w:rPr>
              <w:t>基准</w:t>
            </w:r>
          </w:p>
        </w:tc>
      </w:tr>
      <w:tr>
        <w:tc>
          <w:tcPr>
            <w:tcW w:type="dxa" w:w="1474"/>
          </w:tcPr>
          <w:p>
            <w:pPr>
              <w:jc w:val="left"/>
            </w:pPr>
            <w:r/>
            <w:r>
              <w:rPr>
                <w:rFonts w:ascii="Times New Roman" w:hAnsi="Times New Roman" w:eastAsia="宋体"/>
                <w:b w:val="0"/>
                <w:sz w:val="21"/>
              </w:rPr>
              <w:t>关闭心理层</w:t>
            </w:r>
          </w:p>
        </w:tc>
        <w:tc>
          <w:tcPr>
            <w:tcW w:type="dxa" w:w="1134"/>
          </w:tcPr>
          <w:p>
            <w:pPr>
              <w:jc w:val="center"/>
            </w:pPr>
            <w:r/>
            <w:r>
              <w:rPr>
                <w:rFonts w:ascii="Times New Roman" w:hAnsi="Times New Roman" w:eastAsia="宋体"/>
                <w:b w:val="0"/>
                <w:sz w:val="21"/>
              </w:rPr>
              <w:t>17.9%</w:t>
            </w:r>
          </w:p>
        </w:tc>
        <w:tc>
          <w:tcPr>
            <w:tcW w:type="dxa" w:w="1077"/>
          </w:tcPr>
          <w:p>
            <w:pPr>
              <w:jc w:val="center"/>
            </w:pPr>
            <w:r/>
            <w:r>
              <w:rPr>
                <w:rFonts w:ascii="Times New Roman" w:hAnsi="Times New Roman" w:eastAsia="宋体"/>
                <w:b w:val="0"/>
                <w:sz w:val="21"/>
              </w:rPr>
              <w:t>4.5%</w:t>
            </w:r>
          </w:p>
        </w:tc>
        <w:tc>
          <w:tcPr>
            <w:tcW w:type="dxa" w:w="1077"/>
          </w:tcPr>
          <w:p>
            <w:pPr>
              <w:jc w:val="center"/>
            </w:pPr>
            <w:r/>
            <w:r>
              <w:rPr>
                <w:rFonts w:ascii="Times New Roman" w:hAnsi="Times New Roman" w:eastAsia="宋体"/>
                <w:b w:val="0"/>
                <w:sz w:val="21"/>
              </w:rPr>
              <w:t>17.1%</w:t>
            </w:r>
          </w:p>
        </w:tc>
        <w:tc>
          <w:tcPr>
            <w:tcW w:type="dxa" w:w="1304"/>
          </w:tcPr>
          <w:p>
            <w:pPr>
              <w:jc w:val="center"/>
            </w:pPr>
            <w:r/>
            <w:r>
              <w:rPr>
                <w:rFonts w:ascii="Times New Roman" w:hAnsi="Times New Roman" w:eastAsia="宋体"/>
                <w:b w:val="0"/>
                <w:sz w:val="21"/>
              </w:rPr>
              <w:t>-1.4 个百分点</w:t>
            </w:r>
          </w:p>
        </w:tc>
        <w:tc>
          <w:tcPr>
            <w:tcW w:type="dxa" w:w="1304"/>
          </w:tcPr>
          <w:p>
            <w:pPr>
              <w:jc w:val="center"/>
            </w:pPr>
            <w:r/>
            <w:r>
              <w:rPr>
                <w:rFonts w:ascii="Times New Roman" w:hAnsi="Times New Roman" w:eastAsia="宋体"/>
                <w:b w:val="0"/>
                <w:sz w:val="21"/>
              </w:rPr>
              <w:t>16.0%</w:t>
            </w:r>
          </w:p>
        </w:tc>
        <w:tc>
          <w:tcPr>
            <w:tcW w:type="dxa" w:w="1361"/>
          </w:tcPr>
          <w:p>
            <w:pPr>
              <w:jc w:val="center"/>
            </w:pPr>
            <w:r/>
            <w:r>
              <w:rPr>
                <w:rFonts w:ascii="Times New Roman" w:hAnsi="Times New Roman" w:eastAsia="宋体"/>
                <w:b w:val="0"/>
                <w:sz w:val="21"/>
              </w:rPr>
              <w:t>-1.3 个百分点</w:t>
            </w:r>
          </w:p>
        </w:tc>
      </w:tr>
      <w:tr>
        <w:tc>
          <w:tcPr>
            <w:tcW w:type="dxa" w:w="1474"/>
          </w:tcPr>
          <w:p>
            <w:pPr>
              <w:jc w:val="left"/>
            </w:pPr>
            <w:r/>
            <w:r>
              <w:rPr>
                <w:rFonts w:ascii="Times New Roman" w:hAnsi="Times New Roman" w:eastAsia="宋体"/>
                <w:b w:val="0"/>
                <w:sz w:val="21"/>
              </w:rPr>
              <w:t>关闭传播层</w:t>
            </w:r>
          </w:p>
        </w:tc>
        <w:tc>
          <w:tcPr>
            <w:tcW w:type="dxa" w:w="1134"/>
          </w:tcPr>
          <w:p>
            <w:pPr>
              <w:jc w:val="center"/>
            </w:pPr>
            <w:r/>
            <w:r>
              <w:rPr>
                <w:rFonts w:ascii="Times New Roman" w:hAnsi="Times New Roman" w:eastAsia="宋体"/>
                <w:b w:val="0"/>
                <w:sz w:val="21"/>
              </w:rPr>
              <w:t>16.3%</w:t>
            </w:r>
          </w:p>
        </w:tc>
        <w:tc>
          <w:tcPr>
            <w:tcW w:type="dxa" w:w="1077"/>
          </w:tcPr>
          <w:p>
            <w:pPr>
              <w:jc w:val="center"/>
            </w:pPr>
            <w:r/>
            <w:r>
              <w:rPr>
                <w:rFonts w:ascii="Times New Roman" w:hAnsi="Times New Roman" w:eastAsia="宋体"/>
                <w:b w:val="0"/>
                <w:sz w:val="21"/>
              </w:rPr>
              <w:t>5.5%</w:t>
            </w:r>
          </w:p>
        </w:tc>
        <w:tc>
          <w:tcPr>
            <w:tcW w:type="dxa" w:w="1077"/>
          </w:tcPr>
          <w:p>
            <w:pPr>
              <w:jc w:val="center"/>
            </w:pPr>
            <w:r/>
            <w:r>
              <w:rPr>
                <w:rFonts w:ascii="Times New Roman" w:hAnsi="Times New Roman" w:eastAsia="宋体"/>
                <w:b w:val="0"/>
                <w:sz w:val="21"/>
              </w:rPr>
              <w:t>13.5%</w:t>
            </w:r>
          </w:p>
        </w:tc>
        <w:tc>
          <w:tcPr>
            <w:tcW w:type="dxa" w:w="1304"/>
          </w:tcPr>
          <w:p>
            <w:pPr>
              <w:jc w:val="center"/>
            </w:pPr>
            <w:r/>
            <w:r>
              <w:rPr>
                <w:rFonts w:ascii="Times New Roman" w:hAnsi="Times New Roman" w:eastAsia="宋体"/>
                <w:b w:val="0"/>
                <w:sz w:val="21"/>
              </w:rPr>
              <w:t>-3.0 个百分点</w:t>
            </w:r>
          </w:p>
        </w:tc>
        <w:tc>
          <w:tcPr>
            <w:tcW w:type="dxa" w:w="1304"/>
          </w:tcPr>
          <w:p>
            <w:pPr>
              <w:jc w:val="center"/>
            </w:pPr>
            <w:r/>
            <w:r>
              <w:rPr>
                <w:rFonts w:ascii="Times New Roman" w:hAnsi="Times New Roman" w:eastAsia="宋体"/>
                <w:b w:val="0"/>
                <w:sz w:val="21"/>
              </w:rPr>
              <w:t>14.3%</w:t>
            </w:r>
          </w:p>
        </w:tc>
        <w:tc>
          <w:tcPr>
            <w:tcW w:type="dxa" w:w="1361"/>
          </w:tcPr>
          <w:p>
            <w:pPr>
              <w:jc w:val="center"/>
            </w:pPr>
            <w:r/>
            <w:r>
              <w:rPr>
                <w:rFonts w:ascii="Times New Roman" w:hAnsi="Times New Roman" w:eastAsia="宋体"/>
                <w:b w:val="0"/>
                <w:sz w:val="21"/>
              </w:rPr>
              <w:t>-3.0 个百分点</w:t>
            </w:r>
          </w:p>
        </w:tc>
      </w:tr>
      <w:tr>
        <w:tc>
          <w:tcPr>
            <w:tcW w:type="dxa" w:w="1474"/>
          </w:tcPr>
          <w:p>
            <w:pPr>
              <w:jc w:val="left"/>
            </w:pPr>
            <w:r/>
            <w:r>
              <w:rPr>
                <w:rFonts w:ascii="Times New Roman" w:hAnsi="Times New Roman" w:eastAsia="宋体"/>
                <w:b w:val="0"/>
                <w:sz w:val="21"/>
              </w:rPr>
              <w:t>关闭记忆层</w:t>
            </w:r>
          </w:p>
        </w:tc>
        <w:tc>
          <w:tcPr>
            <w:tcW w:type="dxa" w:w="1134"/>
          </w:tcPr>
          <w:p>
            <w:pPr>
              <w:jc w:val="center"/>
            </w:pPr>
            <w:r/>
            <w:r>
              <w:rPr>
                <w:rFonts w:ascii="Times New Roman" w:hAnsi="Times New Roman" w:eastAsia="宋体"/>
                <w:b w:val="0"/>
                <w:sz w:val="21"/>
              </w:rPr>
              <w:t>6.0%</w:t>
            </w:r>
          </w:p>
        </w:tc>
        <w:tc>
          <w:tcPr>
            <w:tcW w:type="dxa" w:w="1077"/>
          </w:tcPr>
          <w:p>
            <w:pPr>
              <w:jc w:val="center"/>
            </w:pPr>
            <w:r/>
            <w:r>
              <w:rPr>
                <w:rFonts w:ascii="Times New Roman" w:hAnsi="Times New Roman" w:eastAsia="宋体"/>
                <w:b w:val="0"/>
                <w:sz w:val="21"/>
              </w:rPr>
              <w:t>4.7%</w:t>
            </w:r>
          </w:p>
        </w:tc>
        <w:tc>
          <w:tcPr>
            <w:tcW w:type="dxa" w:w="1077"/>
          </w:tcPr>
          <w:p>
            <w:pPr>
              <w:jc w:val="center"/>
            </w:pPr>
            <w:r/>
            <w:r>
              <w:rPr>
                <w:rFonts w:ascii="Times New Roman" w:hAnsi="Times New Roman" w:eastAsia="宋体"/>
                <w:b w:val="0"/>
                <w:sz w:val="21"/>
              </w:rPr>
              <w:t>13.1%</w:t>
            </w:r>
          </w:p>
        </w:tc>
        <w:tc>
          <w:tcPr>
            <w:tcW w:type="dxa" w:w="1304"/>
          </w:tcPr>
          <w:p>
            <w:pPr>
              <w:jc w:val="center"/>
            </w:pPr>
            <w:r/>
            <w:r>
              <w:rPr>
                <w:rFonts w:ascii="Times New Roman" w:hAnsi="Times New Roman" w:eastAsia="宋体"/>
                <w:b w:val="0"/>
                <w:sz w:val="21"/>
              </w:rPr>
              <w:t>-13.4 个百分点</w:t>
            </w:r>
          </w:p>
        </w:tc>
        <w:tc>
          <w:tcPr>
            <w:tcW w:type="dxa" w:w="1304"/>
          </w:tcPr>
          <w:p>
            <w:pPr>
              <w:jc w:val="center"/>
            </w:pPr>
            <w:r/>
            <w:r>
              <w:rPr>
                <w:rFonts w:ascii="Times New Roman" w:hAnsi="Times New Roman" w:eastAsia="宋体"/>
                <w:b w:val="0"/>
                <w:sz w:val="21"/>
              </w:rPr>
              <w:t>4.0%</w:t>
            </w:r>
          </w:p>
        </w:tc>
        <w:tc>
          <w:tcPr>
            <w:tcW w:type="dxa" w:w="1361"/>
          </w:tcPr>
          <w:p>
            <w:pPr>
              <w:jc w:val="center"/>
            </w:pPr>
            <w:r/>
            <w:r>
              <w:rPr>
                <w:rFonts w:ascii="Times New Roman" w:hAnsi="Times New Roman" w:eastAsia="宋体"/>
                <w:b w:val="0"/>
                <w:sz w:val="21"/>
              </w:rPr>
              <w:t>-13.3 个百分点</w:t>
            </w:r>
          </w:p>
        </w:tc>
      </w:tr>
      <w:tr>
        <w:tc>
          <w:tcPr>
            <w:tcW w:type="dxa" w:w="1474"/>
          </w:tcPr>
          <w:p>
            <w:pPr>
              <w:jc w:val="left"/>
            </w:pPr>
            <w:r/>
            <w:r>
              <w:rPr>
                <w:rFonts w:ascii="Times New Roman" w:hAnsi="Times New Roman" w:eastAsia="宋体"/>
                <w:b w:val="0"/>
                <w:sz w:val="21"/>
              </w:rPr>
              <w:t>关闭合规层</w:t>
            </w:r>
          </w:p>
        </w:tc>
        <w:tc>
          <w:tcPr>
            <w:tcW w:type="dxa" w:w="1134"/>
          </w:tcPr>
          <w:p>
            <w:pPr>
              <w:jc w:val="center"/>
            </w:pPr>
            <w:r/>
            <w:r>
              <w:rPr>
                <w:rFonts w:ascii="Times New Roman" w:hAnsi="Times New Roman" w:eastAsia="宋体"/>
                <w:b w:val="0"/>
                <w:sz w:val="21"/>
              </w:rPr>
              <w:t>19.3%</w:t>
            </w:r>
          </w:p>
        </w:tc>
        <w:tc>
          <w:tcPr>
            <w:tcW w:type="dxa" w:w="1077"/>
          </w:tcPr>
          <w:p>
            <w:pPr>
              <w:jc w:val="center"/>
            </w:pPr>
            <w:r/>
            <w:r>
              <w:rPr>
                <w:rFonts w:ascii="Times New Roman" w:hAnsi="Times New Roman" w:eastAsia="宋体"/>
                <w:b w:val="0"/>
                <w:sz w:val="21"/>
              </w:rPr>
              <w:t>6.1%</w:t>
            </w:r>
          </w:p>
        </w:tc>
        <w:tc>
          <w:tcPr>
            <w:tcW w:type="dxa" w:w="1077"/>
          </w:tcPr>
          <w:p>
            <w:pPr>
              <w:jc w:val="center"/>
            </w:pPr>
            <w:r/>
            <w:r>
              <w:rPr>
                <w:rFonts w:ascii="Times New Roman" w:hAnsi="Times New Roman" w:eastAsia="宋体"/>
                <w:b w:val="0"/>
                <w:sz w:val="21"/>
              </w:rPr>
              <w:t>13.6%</w:t>
            </w:r>
          </w:p>
        </w:tc>
        <w:tc>
          <w:tcPr>
            <w:tcW w:type="dxa" w:w="1304"/>
          </w:tcPr>
          <w:p>
            <w:pPr>
              <w:jc w:val="center"/>
            </w:pPr>
            <w:r/>
            <w:r>
              <w:rPr>
                <w:rFonts w:ascii="Times New Roman" w:hAnsi="Times New Roman" w:eastAsia="宋体"/>
                <w:b w:val="0"/>
                <w:sz w:val="21"/>
              </w:rPr>
              <w:t>0</w:t>
            </w:r>
          </w:p>
        </w:tc>
        <w:tc>
          <w:tcPr>
            <w:tcW w:type="dxa" w:w="1304"/>
          </w:tcPr>
          <w:p>
            <w:pPr>
              <w:jc w:val="center"/>
            </w:pPr>
            <w:r/>
            <w:r>
              <w:rPr>
                <w:rFonts w:ascii="Times New Roman" w:hAnsi="Times New Roman" w:eastAsia="宋体"/>
                <w:b w:val="0"/>
                <w:sz w:val="21"/>
              </w:rPr>
              <w:t>22.7%</w:t>
            </w:r>
          </w:p>
        </w:tc>
        <w:tc>
          <w:tcPr>
            <w:tcW w:type="dxa" w:w="1361"/>
          </w:tcPr>
          <w:p>
            <w:pPr>
              <w:jc w:val="center"/>
            </w:pPr>
            <w:r/>
            <w:r>
              <w:rPr>
                <w:rFonts w:ascii="Times New Roman" w:hAnsi="Times New Roman" w:eastAsia="宋体"/>
                <w:b w:val="0"/>
                <w:sz w:val="21"/>
              </w:rPr>
              <w:t>+5.4 个百分点</w:t>
            </w:r>
          </w:p>
        </w:tc>
      </w:tr>
    </w:tbl>
    <w:p>
      <w:pPr>
        <w:spacing w:before="80" w:after="240"/>
        <w:jc w:val="center"/>
      </w:pPr>
      <w:r>
        <w:rPr>
          <w:rFonts w:ascii="微软雅黑" w:hAnsi="微软雅黑" w:eastAsia="微软雅黑"/>
          <w:b w:val="0"/>
          <w:color w:val="475569"/>
          <w:sz w:val="21"/>
        </w:rPr>
        <w:t>表 5 四层消融实验（10% 冲击，基线策略，种子 20260830）</w:t>
      </w:r>
    </w:p>
    <w:p>
      <w:pPr>
        <w:spacing w:after="120" w:line="360" w:lineRule="auto"/>
        <w:ind w:firstLine="480"/>
      </w:pPr>
      <w:r>
        <w:rPr>
          <w:rFonts w:ascii="Times New Roman" w:hAnsi="Times New Roman" w:eastAsia="宋体"/>
          <w:b w:val="0"/>
          <w:sz w:val="24"/>
        </w:rPr>
        <w:t>对照基线用于回答本方案的必要性。我们实现了四种对照模式：仅模型、模型加知识检索、单智能体与双层模拟。需要如实说明三点。第一，前两种模式在未配置模型密钥时按内置关键词规则近似排序，不调用任何模型，因此不是模型表现，不能作为能力对照结论，表中已标注为降级实现。第二，排序一致率必须按场景分别报告：在 5% 与 20% 档，单智能体与本方案一致率为 100%，但那只是两者都选择不干预的必然结果；在 50% 档，文本类模式与本方案的一致率仍有 66.7%，单智能体降到 33.3%。因此不能只用一格数字下一般性结论，正文表格给出了三档场景的完整结果。第三，稳定性指标衡量的是更换随机种子后排序是否保持不变，而不是同种子重复运行；在当前效用权重下该指标在 210 组检验中有 198 组恒为 1，接近退化为常数，因此只作记录、不作为能力证据。</w:t>
      </w:r>
    </w:p>
    <w:tbl>
      <w:tblPr>
        <w:tblStyle w:val="TableGrid"/>
        <w:tblW w:type="auto" w:w="0"/>
        <w:jc w:val="center"/>
        <w:tblLook w:firstColumn="1" w:firstRow="1" w:lastColumn="0" w:lastRow="0" w:noHBand="0" w:noVBand="1" w:val="04A0"/>
      </w:tblPr>
      <w:tblGrid>
        <w:gridCol w:w="2183"/>
        <w:gridCol w:w="2183"/>
        <w:gridCol w:w="2183"/>
        <w:gridCol w:w="2183"/>
      </w:tblGrid>
      <w:tr>
        <w:tc>
          <w:tcPr>
            <w:tcW w:type="dxa" w:w="3175"/>
          </w:tcPr>
          <w:p>
            <w:pPr>
              <w:jc w:val="center"/>
            </w:pPr>
            <w:r/>
            <w:r>
              <w:rPr>
                <w:rFonts w:ascii="微软雅黑" w:hAnsi="微软雅黑" w:eastAsia="微软雅黑"/>
                <w:b/>
                <w:sz w:val="21"/>
              </w:rPr>
              <w:t>对照模式</w:t>
            </w:r>
          </w:p>
        </w:tc>
        <w:tc>
          <w:tcPr>
            <w:tcW w:type="dxa" w:w="1928"/>
          </w:tcPr>
          <w:p>
            <w:pPr>
              <w:jc w:val="center"/>
            </w:pPr>
            <w:r/>
            <w:r>
              <w:rPr>
                <w:rFonts w:ascii="微软雅黑" w:hAnsi="微软雅黑" w:eastAsia="微软雅黑"/>
                <w:b/>
                <w:sz w:val="21"/>
              </w:rPr>
              <w:t>推荐策略</w:t>
            </w:r>
          </w:p>
        </w:tc>
        <w:tc>
          <w:tcPr>
            <w:tcW w:type="dxa" w:w="1474"/>
          </w:tcPr>
          <w:p>
            <w:pPr>
              <w:jc w:val="center"/>
            </w:pPr>
            <w:r/>
            <w:r>
              <w:rPr>
                <w:rFonts w:ascii="微软雅黑" w:hAnsi="微软雅黑" w:eastAsia="微软雅黑"/>
                <w:b/>
                <w:sz w:val="21"/>
              </w:rPr>
              <w:t>排序一致率</w:t>
            </w:r>
          </w:p>
        </w:tc>
        <w:tc>
          <w:tcPr>
            <w:tcW w:type="dxa" w:w="1928"/>
          </w:tcPr>
          <w:p>
            <w:pPr>
              <w:jc w:val="center"/>
            </w:pPr>
            <w:r/>
            <w:r>
              <w:rPr>
                <w:rFonts w:ascii="微软雅黑" w:hAnsi="微软雅黑" w:eastAsia="微软雅黑"/>
                <w:b/>
                <w:sz w:val="21"/>
              </w:rPr>
              <w:t>种子重采样稳定性</w:t>
            </w:r>
          </w:p>
        </w:tc>
      </w:tr>
      <w:tr>
        <w:tc>
          <w:tcPr>
            <w:tcW w:type="dxa" w:w="3175"/>
          </w:tcPr>
          <w:p>
            <w:pPr>
              <w:jc w:val="left"/>
            </w:pPr>
            <w:r/>
            <w:r>
              <w:rPr>
                <w:rFonts w:ascii="Times New Roman" w:hAnsi="Times New Roman" w:eastAsia="宋体"/>
                <w:b w:val="0"/>
                <w:sz w:val="21"/>
              </w:rPr>
              <w:t>仅模型（无模拟，降级实现）</w:t>
            </w:r>
          </w:p>
        </w:tc>
        <w:tc>
          <w:tcPr>
            <w:tcW w:type="dxa" w:w="1928"/>
          </w:tcPr>
          <w:p>
            <w:pPr>
              <w:jc w:val="center"/>
            </w:pPr>
            <w:r/>
            <w:r>
              <w:rPr>
                <w:rFonts w:ascii="Times New Roman" w:hAnsi="Times New Roman" w:eastAsia="宋体"/>
                <w:b w:val="0"/>
                <w:sz w:val="21"/>
              </w:rPr>
              <w:t>统一风险提示</w:t>
            </w:r>
          </w:p>
        </w:tc>
        <w:tc>
          <w:tcPr>
            <w:tcW w:type="dxa" w:w="1474"/>
          </w:tcPr>
          <w:p>
            <w:pPr>
              <w:jc w:val="center"/>
            </w:pPr>
            <w:r/>
            <w:r>
              <w:rPr>
                <w:rFonts w:ascii="Times New Roman" w:hAnsi="Times New Roman" w:eastAsia="宋体"/>
                <w:b w:val="0"/>
                <w:sz w:val="21"/>
              </w:rPr>
              <w:t>33.3%</w:t>
            </w:r>
          </w:p>
        </w:tc>
        <w:tc>
          <w:tcPr>
            <w:tcW w:type="dxa" w:w="1928"/>
          </w:tcPr>
          <w:p>
            <w:pPr>
              <w:jc w:val="center"/>
            </w:pPr>
            <w:r/>
            <w:r>
              <w:rPr>
                <w:rFonts w:ascii="Times New Roman" w:hAnsi="Times New Roman" w:eastAsia="宋体"/>
                <w:b w:val="0"/>
                <w:sz w:val="21"/>
              </w:rPr>
              <w:t>不适用</w:t>
            </w:r>
          </w:p>
        </w:tc>
      </w:tr>
      <w:tr>
        <w:tc>
          <w:tcPr>
            <w:tcW w:type="dxa" w:w="3175"/>
          </w:tcPr>
          <w:p>
            <w:pPr>
              <w:jc w:val="left"/>
            </w:pPr>
            <w:r/>
            <w:r>
              <w:rPr>
                <w:rFonts w:ascii="Times New Roman" w:hAnsi="Times New Roman" w:eastAsia="宋体"/>
                <w:b w:val="0"/>
                <w:sz w:val="21"/>
              </w:rPr>
              <w:t>模型加知识检索（无模拟，降级实现）</w:t>
            </w:r>
          </w:p>
        </w:tc>
        <w:tc>
          <w:tcPr>
            <w:tcW w:type="dxa" w:w="1928"/>
          </w:tcPr>
          <w:p>
            <w:pPr>
              <w:jc w:val="center"/>
            </w:pPr>
            <w:r/>
            <w:r>
              <w:rPr>
                <w:rFonts w:ascii="Times New Roman" w:hAnsi="Times New Roman" w:eastAsia="宋体"/>
                <w:b w:val="0"/>
                <w:sz w:val="21"/>
              </w:rPr>
              <w:t>统一风险提示</w:t>
            </w:r>
          </w:p>
        </w:tc>
        <w:tc>
          <w:tcPr>
            <w:tcW w:type="dxa" w:w="1474"/>
          </w:tcPr>
          <w:p>
            <w:pPr>
              <w:jc w:val="center"/>
            </w:pPr>
            <w:r/>
            <w:r>
              <w:rPr>
                <w:rFonts w:ascii="Times New Roman" w:hAnsi="Times New Roman" w:eastAsia="宋体"/>
                <w:b w:val="0"/>
                <w:sz w:val="21"/>
              </w:rPr>
              <w:t>33.3%</w:t>
            </w:r>
          </w:p>
        </w:tc>
        <w:tc>
          <w:tcPr>
            <w:tcW w:type="dxa" w:w="1928"/>
          </w:tcPr>
          <w:p>
            <w:pPr>
              <w:jc w:val="center"/>
            </w:pPr>
            <w:r/>
            <w:r>
              <w:rPr>
                <w:rFonts w:ascii="Times New Roman" w:hAnsi="Times New Roman" w:eastAsia="宋体"/>
                <w:b w:val="0"/>
                <w:sz w:val="21"/>
              </w:rPr>
              <w:t>不适用</w:t>
            </w:r>
          </w:p>
        </w:tc>
      </w:tr>
      <w:tr>
        <w:tc>
          <w:tcPr>
            <w:tcW w:type="dxa" w:w="3175"/>
          </w:tcPr>
          <w:p>
            <w:pPr>
              <w:jc w:val="left"/>
            </w:pPr>
            <w:r/>
            <w:r>
              <w:rPr>
                <w:rFonts w:ascii="Times New Roman" w:hAnsi="Times New Roman" w:eastAsia="宋体"/>
                <w:b w:val="0"/>
                <w:sz w:val="21"/>
              </w:rPr>
              <w:t>单智能体（无个体状态与传播）</w:t>
            </w:r>
          </w:p>
        </w:tc>
        <w:tc>
          <w:tcPr>
            <w:tcW w:type="dxa" w:w="1928"/>
          </w:tcPr>
          <w:p>
            <w:pPr>
              <w:jc w:val="center"/>
            </w:pPr>
            <w:r/>
            <w:r>
              <w:rPr>
                <w:rFonts w:ascii="Times New Roman" w:hAnsi="Times New Roman" w:eastAsia="宋体"/>
                <w:b w:val="0"/>
                <w:sz w:val="21"/>
              </w:rPr>
              <w:t>不主动沟通</w:t>
            </w:r>
          </w:p>
        </w:tc>
        <w:tc>
          <w:tcPr>
            <w:tcW w:type="dxa" w:w="1474"/>
          </w:tcPr>
          <w:p>
            <w:pPr>
              <w:jc w:val="center"/>
            </w:pPr>
            <w:r/>
            <w:r>
              <w:rPr>
                <w:rFonts w:ascii="Times New Roman" w:hAnsi="Times New Roman" w:eastAsia="宋体"/>
                <w:b w:val="0"/>
                <w:sz w:val="21"/>
              </w:rPr>
              <w:t>100%</w:t>
            </w:r>
          </w:p>
        </w:tc>
        <w:tc>
          <w:tcPr>
            <w:tcW w:type="dxa" w:w="1928"/>
          </w:tcPr>
          <w:p>
            <w:pPr>
              <w:jc w:val="center"/>
            </w:pPr>
            <w:r/>
            <w:r>
              <w:rPr>
                <w:rFonts w:ascii="Times New Roman" w:hAnsi="Times New Roman" w:eastAsia="宋体"/>
                <w:b w:val="0"/>
                <w:sz w:val="21"/>
              </w:rPr>
              <w:t>1.0</w:t>
            </w:r>
          </w:p>
        </w:tc>
      </w:tr>
      <w:tr>
        <w:tc>
          <w:tcPr>
            <w:tcW w:type="dxa" w:w="3175"/>
          </w:tcPr>
          <w:p>
            <w:pPr>
              <w:jc w:val="left"/>
            </w:pPr>
            <w:r/>
            <w:r>
              <w:rPr>
                <w:rFonts w:ascii="Times New Roman" w:hAnsi="Times New Roman" w:eastAsia="宋体"/>
                <w:b w:val="0"/>
                <w:sz w:val="21"/>
              </w:rPr>
              <w:t>双层模拟（本方案）</w:t>
            </w:r>
          </w:p>
        </w:tc>
        <w:tc>
          <w:tcPr>
            <w:tcW w:type="dxa" w:w="1928"/>
          </w:tcPr>
          <w:p>
            <w:pPr>
              <w:jc w:val="center"/>
            </w:pPr>
            <w:r/>
            <w:r>
              <w:rPr>
                <w:rFonts w:ascii="Times New Roman" w:hAnsi="Times New Roman" w:eastAsia="宋体"/>
                <w:b w:val="0"/>
                <w:sz w:val="21"/>
              </w:rPr>
              <w:t>不主动沟通</w:t>
            </w:r>
          </w:p>
        </w:tc>
        <w:tc>
          <w:tcPr>
            <w:tcW w:type="dxa" w:w="1474"/>
          </w:tcPr>
          <w:p>
            <w:pPr>
              <w:jc w:val="center"/>
            </w:pPr>
            <w:r/>
            <w:r>
              <w:rPr>
                <w:rFonts w:ascii="Times New Roman" w:hAnsi="Times New Roman" w:eastAsia="宋体"/>
                <w:b w:val="0"/>
                <w:sz w:val="21"/>
              </w:rPr>
              <w:t>基准</w:t>
            </w:r>
          </w:p>
        </w:tc>
        <w:tc>
          <w:tcPr>
            <w:tcW w:type="dxa" w:w="1928"/>
          </w:tcPr>
          <w:p>
            <w:pPr>
              <w:jc w:val="center"/>
            </w:pPr>
            <w:r/>
            <w:r>
              <w:rPr>
                <w:rFonts w:ascii="Times New Roman" w:hAnsi="Times New Roman" w:eastAsia="宋体"/>
                <w:b w:val="0"/>
                <w:sz w:val="21"/>
              </w:rPr>
              <w:t>1.0</w:t>
            </w:r>
          </w:p>
        </w:tc>
      </w:tr>
    </w:tbl>
    <w:p>
      <w:pPr>
        <w:spacing w:before="80" w:after="240"/>
        <w:jc w:val="center"/>
      </w:pPr>
      <w:r>
        <w:rPr>
          <w:rFonts w:ascii="微软雅黑" w:hAnsi="微软雅黑" w:eastAsia="微软雅黑"/>
          <w:b w:val="0"/>
          <w:color w:val="475569"/>
          <w:sz w:val="21"/>
        </w:rPr>
        <w:t>表 6 四种对照模式在默认场景（10% 跌幅）下的比较</w:t>
      </w:r>
    </w:p>
    <w:tbl>
      <w:tblPr>
        <w:tblStyle w:val="TableGrid"/>
        <w:tblW w:type="auto" w:w="0"/>
        <w:jc w:val="center"/>
        <w:tblLook w:firstColumn="1" w:firstRow="1" w:lastColumn="0" w:lastRow="0" w:noHBand="0" w:noVBand="1" w:val="04A0"/>
      </w:tblPr>
      <w:tblGrid>
        <w:gridCol w:w="1746"/>
        <w:gridCol w:w="1746"/>
        <w:gridCol w:w="1746"/>
        <w:gridCol w:w="1746"/>
        <w:gridCol w:w="1746"/>
      </w:tblGrid>
      <w:tr>
        <w:tc>
          <w:tcPr>
            <w:tcW w:type="dxa" w:w="1247"/>
          </w:tcPr>
          <w:p>
            <w:pPr>
              <w:jc w:val="center"/>
            </w:pPr>
            <w:r/>
            <w:r>
              <w:rPr>
                <w:rFonts w:ascii="微软雅黑" w:hAnsi="微软雅黑" w:eastAsia="微软雅黑"/>
                <w:b/>
                <w:sz w:val="21"/>
              </w:rPr>
              <w:t>市场跌幅</w:t>
            </w:r>
          </w:p>
        </w:tc>
        <w:tc>
          <w:tcPr>
            <w:tcW w:type="dxa" w:w="2041"/>
          </w:tcPr>
          <w:p>
            <w:pPr>
              <w:jc w:val="center"/>
            </w:pPr>
            <w:r/>
            <w:r>
              <w:rPr>
                <w:rFonts w:ascii="微软雅黑" w:hAnsi="微软雅黑" w:eastAsia="微软雅黑"/>
                <w:b/>
                <w:sz w:val="21"/>
              </w:rPr>
              <w:t>仅模型（降级）</w:t>
            </w:r>
          </w:p>
        </w:tc>
        <w:tc>
          <w:tcPr>
            <w:tcW w:type="dxa" w:w="2154"/>
          </w:tcPr>
          <w:p>
            <w:pPr>
              <w:jc w:val="center"/>
            </w:pPr>
            <w:r/>
            <w:r>
              <w:rPr>
                <w:rFonts w:ascii="微软雅黑" w:hAnsi="微软雅黑" w:eastAsia="微软雅黑"/>
                <w:b/>
                <w:sz w:val="21"/>
              </w:rPr>
              <w:t>模型加知识检索（降级）</w:t>
            </w:r>
          </w:p>
        </w:tc>
        <w:tc>
          <w:tcPr>
            <w:tcW w:type="dxa" w:w="2041"/>
          </w:tcPr>
          <w:p>
            <w:pPr>
              <w:jc w:val="center"/>
            </w:pPr>
            <w:r/>
            <w:r>
              <w:rPr>
                <w:rFonts w:ascii="微软雅黑" w:hAnsi="微软雅黑" w:eastAsia="微软雅黑"/>
                <w:b/>
                <w:sz w:val="21"/>
              </w:rPr>
              <w:t>单智能体</w:t>
            </w:r>
          </w:p>
        </w:tc>
        <w:tc>
          <w:tcPr>
            <w:tcW w:type="dxa" w:w="1814"/>
          </w:tcPr>
          <w:p>
            <w:pPr>
              <w:jc w:val="center"/>
            </w:pPr>
            <w:r/>
            <w:r>
              <w:rPr>
                <w:rFonts w:ascii="微软雅黑" w:hAnsi="微软雅黑" w:eastAsia="微软雅黑"/>
                <w:b/>
                <w:sz w:val="21"/>
              </w:rPr>
              <w:t>双层模拟（本方案）</w:t>
            </w:r>
          </w:p>
        </w:tc>
      </w:tr>
      <w:tr>
        <w:tc>
          <w:tcPr>
            <w:tcW w:type="dxa" w:w="1247"/>
          </w:tcPr>
          <w:p>
            <w:pPr>
              <w:jc w:val="left"/>
            </w:pPr>
            <w:r/>
            <w:r>
              <w:rPr>
                <w:rFonts w:ascii="Times New Roman" w:hAnsi="Times New Roman" w:eastAsia="宋体"/>
                <w:b w:val="0"/>
                <w:sz w:val="21"/>
              </w:rPr>
              <w:t>5%</w:t>
            </w:r>
          </w:p>
        </w:tc>
        <w:tc>
          <w:tcPr>
            <w:tcW w:type="dxa" w:w="2041"/>
          </w:tcPr>
          <w:p>
            <w:pPr>
              <w:jc w:val="center"/>
            </w:pPr>
            <w:r/>
            <w:r>
              <w:rPr>
                <w:rFonts w:ascii="Times New Roman" w:hAnsi="Times New Roman" w:eastAsia="宋体"/>
                <w:b w:val="0"/>
                <w:sz w:val="21"/>
              </w:rPr>
              <w:t>统一风险提示（一致率 33.3%）</w:t>
            </w:r>
          </w:p>
        </w:tc>
        <w:tc>
          <w:tcPr>
            <w:tcW w:type="dxa" w:w="2154"/>
          </w:tcPr>
          <w:p>
            <w:pPr>
              <w:jc w:val="center"/>
            </w:pPr>
            <w:r/>
            <w:r>
              <w:rPr>
                <w:rFonts w:ascii="Times New Roman" w:hAnsi="Times New Roman" w:eastAsia="宋体"/>
                <w:b w:val="0"/>
                <w:sz w:val="21"/>
              </w:rPr>
              <w:t>统一风险提示（一致率 33.3%）</w:t>
            </w:r>
          </w:p>
        </w:tc>
        <w:tc>
          <w:tcPr>
            <w:tcW w:type="dxa" w:w="2041"/>
          </w:tcPr>
          <w:p>
            <w:pPr>
              <w:jc w:val="center"/>
            </w:pPr>
            <w:r/>
            <w:r>
              <w:rPr>
                <w:rFonts w:ascii="Times New Roman" w:hAnsi="Times New Roman" w:eastAsia="宋体"/>
                <w:b w:val="0"/>
                <w:sz w:val="21"/>
              </w:rPr>
              <w:t>不主动沟通（一致率 100%）</w:t>
            </w:r>
          </w:p>
        </w:tc>
        <w:tc>
          <w:tcPr>
            <w:tcW w:type="dxa" w:w="1814"/>
          </w:tcPr>
          <w:p>
            <w:pPr>
              <w:jc w:val="center"/>
            </w:pPr>
            <w:r/>
            <w:r>
              <w:rPr>
                <w:rFonts w:ascii="Times New Roman" w:hAnsi="Times New Roman" w:eastAsia="宋体"/>
                <w:b w:val="0"/>
                <w:sz w:val="21"/>
              </w:rPr>
              <w:t>不主动沟通</w:t>
            </w:r>
          </w:p>
        </w:tc>
      </w:tr>
      <w:tr>
        <w:tc>
          <w:tcPr>
            <w:tcW w:type="dxa" w:w="1247"/>
          </w:tcPr>
          <w:p>
            <w:pPr>
              <w:jc w:val="left"/>
            </w:pPr>
            <w:r/>
            <w:r>
              <w:rPr>
                <w:rFonts w:ascii="Times New Roman" w:hAnsi="Times New Roman" w:eastAsia="宋体"/>
                <w:b w:val="0"/>
                <w:sz w:val="21"/>
              </w:rPr>
              <w:t>20%</w:t>
            </w:r>
          </w:p>
        </w:tc>
        <w:tc>
          <w:tcPr>
            <w:tcW w:type="dxa" w:w="2041"/>
          </w:tcPr>
          <w:p>
            <w:pPr>
              <w:jc w:val="center"/>
            </w:pPr>
            <w:r/>
            <w:r>
              <w:rPr>
                <w:rFonts w:ascii="Times New Roman" w:hAnsi="Times New Roman" w:eastAsia="宋体"/>
                <w:b w:val="0"/>
                <w:sz w:val="21"/>
              </w:rPr>
              <w:t>统一风险提示（一致率 33.3%）</w:t>
            </w:r>
          </w:p>
        </w:tc>
        <w:tc>
          <w:tcPr>
            <w:tcW w:type="dxa" w:w="2154"/>
          </w:tcPr>
          <w:p>
            <w:pPr>
              <w:jc w:val="center"/>
            </w:pPr>
            <w:r/>
            <w:r>
              <w:rPr>
                <w:rFonts w:ascii="Times New Roman" w:hAnsi="Times New Roman" w:eastAsia="宋体"/>
                <w:b w:val="0"/>
                <w:sz w:val="21"/>
              </w:rPr>
              <w:t>统一风险提示（一致率 33.3%）</w:t>
            </w:r>
          </w:p>
        </w:tc>
        <w:tc>
          <w:tcPr>
            <w:tcW w:type="dxa" w:w="2041"/>
          </w:tcPr>
          <w:p>
            <w:pPr>
              <w:jc w:val="center"/>
            </w:pPr>
            <w:r/>
            <w:r>
              <w:rPr>
                <w:rFonts w:ascii="Times New Roman" w:hAnsi="Times New Roman" w:eastAsia="宋体"/>
                <w:b w:val="0"/>
                <w:sz w:val="21"/>
              </w:rPr>
              <w:t>不主动沟通（一致率 100%）</w:t>
            </w:r>
          </w:p>
        </w:tc>
        <w:tc>
          <w:tcPr>
            <w:tcW w:type="dxa" w:w="1814"/>
          </w:tcPr>
          <w:p>
            <w:pPr>
              <w:jc w:val="center"/>
            </w:pPr>
            <w:r/>
            <w:r>
              <w:rPr>
                <w:rFonts w:ascii="Times New Roman" w:hAnsi="Times New Roman" w:eastAsia="宋体"/>
                <w:b w:val="0"/>
                <w:sz w:val="21"/>
              </w:rPr>
              <w:t>不主动沟通</w:t>
            </w:r>
          </w:p>
        </w:tc>
      </w:tr>
      <w:tr>
        <w:tc>
          <w:tcPr>
            <w:tcW w:type="dxa" w:w="1247"/>
          </w:tcPr>
          <w:p>
            <w:pPr>
              <w:jc w:val="left"/>
            </w:pPr>
            <w:r/>
            <w:r>
              <w:rPr>
                <w:rFonts w:ascii="Times New Roman" w:hAnsi="Times New Roman" w:eastAsia="宋体"/>
                <w:b w:val="0"/>
                <w:sz w:val="21"/>
              </w:rPr>
              <w:t>50%</w:t>
            </w:r>
          </w:p>
        </w:tc>
        <w:tc>
          <w:tcPr>
            <w:tcW w:type="dxa" w:w="2041"/>
          </w:tcPr>
          <w:p>
            <w:pPr>
              <w:jc w:val="center"/>
            </w:pPr>
            <w:r/>
            <w:r>
              <w:rPr>
                <w:rFonts w:ascii="Times New Roman" w:hAnsi="Times New Roman" w:eastAsia="宋体"/>
                <w:b w:val="0"/>
                <w:sz w:val="21"/>
              </w:rPr>
              <w:t>统一风险提示（一致率 66.7%）</w:t>
            </w:r>
          </w:p>
        </w:tc>
        <w:tc>
          <w:tcPr>
            <w:tcW w:type="dxa" w:w="2154"/>
          </w:tcPr>
          <w:p>
            <w:pPr>
              <w:jc w:val="center"/>
            </w:pPr>
            <w:r/>
            <w:r>
              <w:rPr>
                <w:rFonts w:ascii="Times New Roman" w:hAnsi="Times New Roman" w:eastAsia="宋体"/>
                <w:b w:val="0"/>
                <w:sz w:val="21"/>
              </w:rPr>
              <w:t>统一风险提示（一致率 66.7%）</w:t>
            </w:r>
          </w:p>
        </w:tc>
        <w:tc>
          <w:tcPr>
            <w:tcW w:type="dxa" w:w="2041"/>
          </w:tcPr>
          <w:p>
            <w:pPr>
              <w:jc w:val="center"/>
            </w:pPr>
            <w:r/>
            <w:r>
              <w:rPr>
                <w:rFonts w:ascii="Times New Roman" w:hAnsi="Times New Roman" w:eastAsia="宋体"/>
                <w:b w:val="0"/>
                <w:sz w:val="21"/>
              </w:rPr>
              <w:t>统一风险提示（一致率 33.3%）</w:t>
            </w:r>
          </w:p>
        </w:tc>
        <w:tc>
          <w:tcPr>
            <w:tcW w:type="dxa" w:w="1814"/>
          </w:tcPr>
          <w:p>
            <w:pPr>
              <w:jc w:val="center"/>
            </w:pPr>
            <w:r/>
            <w:r>
              <w:rPr>
                <w:rFonts w:ascii="Times New Roman" w:hAnsi="Times New Roman" w:eastAsia="宋体"/>
                <w:b w:val="0"/>
                <w:sz w:val="21"/>
              </w:rPr>
              <w:t>分群差异化沟通</w:t>
            </w:r>
          </w:p>
        </w:tc>
      </w:tr>
    </w:tbl>
    <w:p>
      <w:pPr>
        <w:spacing w:before="80" w:after="240"/>
        <w:jc w:val="center"/>
      </w:pPr>
      <w:r>
        <w:rPr>
          <w:rFonts w:ascii="微软雅黑" w:hAnsi="微软雅黑" w:eastAsia="微软雅黑"/>
          <w:b w:val="0"/>
          <w:color w:val="475569"/>
          <w:sz w:val="21"/>
        </w:rPr>
        <w:t>表 7 三档冲击下的实测对照（时长 24 小时、步数 10、种子 20260830）</w:t>
      </w:r>
    </w:p>
    <w:p>
      <w:pPr>
        <w:spacing w:after="120" w:line="360" w:lineRule="auto"/>
        <w:ind w:firstLine="480"/>
      </w:pPr>
      <w:r>
        <w:rPr>
          <w:rFonts w:ascii="Times New Roman" w:hAnsi="Times New Roman" w:eastAsia="宋体"/>
          <w:b w:val="0"/>
          <w:sz w:val="24"/>
        </w:rPr>
        <w:t>据此，本节把论证重心放在消融实验，而不是文本类对照。关闭记忆层使基线恐慌峰值从 19.3% 降至 6.0%、关闭传播层降至 16.3%，这两项直接说明「跨时间步的记忆」和「客户之间的情绪传导」是模型不可省略的部分，而这两层恰恰是纯文本方法无法提供的。至于「仅模型」与「模型加知识检索」两种模式，在未配置模型密钥的前提下只是占位对照，材料已如实标注为降级实现，不作为能力结论；正式版本需要在固定模型、固定提示词与固定温度下重复运行若干次后重新比较。</w:t>
      </w:r>
    </w:p>
    <w:p>
      <w:pPr>
        <w:spacing w:before="200" w:after="120"/>
      </w:pPr>
      <w:r>
        <w:rPr>
          <w:rFonts w:ascii="微软雅黑" w:hAnsi="微软雅黑" w:eastAsia="微软雅黑"/>
          <w:b/>
          <w:color w:val="1E3A8A"/>
          <w:sz w:val="27"/>
        </w:rPr>
        <w:t>4.6 合规语料评测</w:t>
      </w:r>
    </w:p>
    <w:p>
      <w:pPr>
        <w:spacing w:after="120" w:line="360" w:lineRule="auto"/>
        <w:ind w:firstLine="480"/>
      </w:pPr>
      <w:r>
        <w:rPr>
          <w:rFonts w:ascii="Times New Roman" w:hAnsi="Times New Roman" w:eastAsia="宋体"/>
          <w:b w:val="0"/>
          <w:sz w:val="24"/>
        </w:rPr>
        <w:t>我们构建了 32 条带标签的合规评测语料，其中应当阻断的 11 条、应当复核的 10 条、合规的 11 条。规则引擎对禁止性样例的召回率为 100%，对待复核样例的召回率为 90%，综合召回率 95.2%，对合规样例的误拦截率为 0。唯一一条漏检样本属于待复核类别，其语义依赖上下文判断，已被纳入后续规则迭代清单。需要如实说明三点。第一，这批语料与规则由同一团队在同一轮工作中产出，属于样本内自检，不构成独立验证。第二，32 条的样本量偏小，且缺少同义改写、长句嵌套、隐含承诺、否定套否定和依赖上下文等难例，因此上面这些比率主要用于工程回归，不代表生产环境下的泛化能力。第三，正式对外引用前需要补充由其他成员独立标注的盲样本集重做混淆矩阵，并按错误类型逐条列出漏检与误拦截样本——列出错误案例比展示满分更有说服力。</w:t>
      </w:r>
    </w:p>
    <w:p>
      <w:pPr>
        <w:spacing w:before="200" w:after="120"/>
      </w:pPr>
      <w:r>
        <w:rPr>
          <w:rFonts w:ascii="微软雅黑" w:hAnsi="微软雅黑" w:eastAsia="微软雅黑"/>
          <w:b/>
          <w:color w:val="1E3A8A"/>
          <w:sz w:val="27"/>
        </w:rPr>
        <w:t>4.7 一次完整的业务运行案例</w:t>
      </w:r>
    </w:p>
    <w:p>
      <w:pPr>
        <w:spacing w:after="120" w:line="360" w:lineRule="auto"/>
        <w:ind w:firstLine="480"/>
      </w:pPr>
      <w:r>
        <w:rPr>
          <w:rFonts w:ascii="Times New Roman" w:hAnsi="Times New Roman" w:eastAsia="宋体"/>
          <w:b w:val="0"/>
          <w:sz w:val="24"/>
        </w:rPr>
        <w:t>为了说明系统在实际业务里怎么用，这里给出一次完整运行。场景是市场当日下跌 30%、预计持续 48 小时，任务是分析持有高波动产品的客户并给出沟通建议。</w:t>
      </w:r>
    </w:p>
    <w:p>
      <w:pPr>
        <w:spacing w:after="120" w:line="360" w:lineRule="auto"/>
        <w:ind w:firstLine="480"/>
      </w:pPr>
      <w:r>
        <w:rPr>
          <w:rFonts w:ascii="Times New Roman" w:hAnsi="Times New Roman" w:eastAsia="宋体"/>
          <w:b w:val="0"/>
          <w:sz w:val="24"/>
        </w:rPr>
        <w:t>**第一步，理解目标并筛选客户。** 系统从这句自然语言里抽出跌幅 30%、持续 48 小时两个关键参数，再按高波动回撤客群的口径筛选：候选池共生成 900 名合成客户，其中 300 名同时满足「持有高波动产品」和「基准冲击下持仓弹性不低于 0.8」两个条件，被选为目标客户；另外 525 名未命中，这个数量在界面和审计里都会标注。本次命中充足，因此不需要按回撤补足。</w:t>
      </w:r>
    </w:p>
    <w:p>
      <w:pPr>
        <w:spacing w:after="120" w:line="360" w:lineRule="auto"/>
        <w:ind w:firstLine="480"/>
      </w:pPr>
      <w:r>
        <w:rPr>
          <w:rFonts w:ascii="Times New Roman" w:hAnsi="Times New Roman" w:eastAsia="宋体"/>
          <w:b w:val="0"/>
          <w:sz w:val="24"/>
        </w:rPr>
        <w:t>**第二步，生成画像与关系网络。** 300 名目标客户分布在五类原型上，各自带有六项心理参数，并由心理特征与所持产品共同算出一个持仓弹性，因此在同一场下跌中受损程度各不相同。系统同时建立三类客户关系，供后续的情绪传导使用。</w:t>
      </w:r>
    </w:p>
    <w:p>
      <w:pPr>
        <w:spacing w:after="120" w:line="360" w:lineRule="auto"/>
        <w:ind w:firstLine="480"/>
      </w:pPr>
      <w:r>
        <w:rPr>
          <w:rFonts w:ascii="Times New Roman" w:hAnsi="Times New Roman" w:eastAsia="宋体"/>
          <w:b w:val="0"/>
          <w:sz w:val="24"/>
        </w:rPr>
        <w:t>**第三步，生成策略并做合规检查。** 系统形成三套候选沟通方案，草稿先送合规检查。其中统一风险提示的草稿命中「务必立即行动」与「一定反弹」两处违规表达，被判定为诱导性紧迫表达与绝对化收益断言，随即拦下并改写为合规版本；同时该方案的话术刺激强度在后续推演中归零——被拦下的表达不会发出去，因此也不产生情绪放大效应。另外两套方案的草稿未触发阻断规则。</w:t>
      </w:r>
    </w:p>
    <w:p>
      <w:pPr>
        <w:spacing w:after="120" w:line="360" w:lineRule="auto"/>
        <w:ind w:firstLine="480"/>
      </w:pPr>
      <w:r>
        <w:rPr>
          <w:rFonts w:ascii="Times New Roman" w:hAnsi="Times New Roman" w:eastAsia="宋体"/>
          <w:b w:val="0"/>
          <w:sz w:val="24"/>
        </w:rPr>
        <w:t>**第四步，群体推演与方案比较。** 三套方案在相同客户、相同随机种子下分别推演 10 段，结果如下。</w:t>
      </w:r>
    </w:p>
    <w:tbl>
      <w:tblPr>
        <w:tblStyle w:val="TableGrid"/>
        <w:tblW w:type="auto" w:w="0"/>
        <w:jc w:val="center"/>
        <w:tblLook w:firstColumn="1" w:firstRow="1" w:lastColumn="0" w:lastRow="0" w:noHBand="0" w:noVBand="1" w:val="04A0"/>
      </w:tblPr>
      <w:tblGrid>
        <w:gridCol w:w="1455"/>
        <w:gridCol w:w="1455"/>
        <w:gridCol w:w="1455"/>
        <w:gridCol w:w="1455"/>
        <w:gridCol w:w="1455"/>
        <w:gridCol w:w="1455"/>
      </w:tblGrid>
      <w:tr>
        <w:tc>
          <w:tcPr>
            <w:tcW w:type="dxa" w:w="1701"/>
          </w:tcPr>
          <w:p>
            <w:pPr>
              <w:jc w:val="center"/>
            </w:pPr>
            <w:r/>
            <w:r>
              <w:rPr>
                <w:rFonts w:ascii="微软雅黑" w:hAnsi="微软雅黑" w:eastAsia="微软雅黑"/>
                <w:b/>
                <w:sz w:val="21"/>
              </w:rPr>
              <w:t>方案</w:t>
            </w:r>
          </w:p>
        </w:tc>
        <w:tc>
          <w:tcPr>
            <w:tcW w:type="dxa" w:w="1361"/>
          </w:tcPr>
          <w:p>
            <w:pPr>
              <w:jc w:val="center"/>
            </w:pPr>
            <w:r/>
            <w:r>
              <w:rPr>
                <w:rFonts w:ascii="微软雅黑" w:hAnsi="微软雅黑" w:eastAsia="微软雅黑"/>
                <w:b/>
                <w:sz w:val="21"/>
              </w:rPr>
              <w:t>综合推荐度</w:t>
            </w:r>
          </w:p>
        </w:tc>
        <w:tc>
          <w:tcPr>
            <w:tcW w:type="dxa" w:w="1247"/>
          </w:tcPr>
          <w:p>
            <w:pPr>
              <w:jc w:val="center"/>
            </w:pPr>
            <w:r/>
            <w:r>
              <w:rPr>
                <w:rFonts w:ascii="微软雅黑" w:hAnsi="微软雅黑" w:eastAsia="微软雅黑"/>
                <w:b/>
                <w:sz w:val="21"/>
              </w:rPr>
              <w:t>恐慌峰值</w:t>
            </w:r>
          </w:p>
        </w:tc>
        <w:tc>
          <w:tcPr>
            <w:tcW w:type="dxa" w:w="1134"/>
          </w:tcPr>
          <w:p>
            <w:pPr>
              <w:jc w:val="center"/>
            </w:pPr>
            <w:r/>
            <w:r>
              <w:rPr>
                <w:rFonts w:ascii="微软雅黑" w:hAnsi="微软雅黑" w:eastAsia="微软雅黑"/>
                <w:b/>
                <w:sz w:val="21"/>
              </w:rPr>
              <w:t>期末卖出</w:t>
            </w:r>
          </w:p>
        </w:tc>
        <w:tc>
          <w:tcPr>
            <w:tcW w:type="dxa" w:w="1134"/>
          </w:tcPr>
          <w:p>
            <w:pPr>
              <w:jc w:val="center"/>
            </w:pPr>
            <w:r/>
            <w:r>
              <w:rPr>
                <w:rFonts w:ascii="微软雅黑" w:hAnsi="微软雅黑" w:eastAsia="微软雅黑"/>
                <w:b/>
                <w:sz w:val="21"/>
              </w:rPr>
              <w:t>期末流失</w:t>
            </w:r>
          </w:p>
        </w:tc>
        <w:tc>
          <w:tcPr>
            <w:tcW w:type="dxa" w:w="2381"/>
          </w:tcPr>
          <w:p>
            <w:pPr>
              <w:jc w:val="center"/>
            </w:pPr>
            <w:r/>
            <w:r>
              <w:rPr>
                <w:rFonts w:ascii="微软雅黑" w:hAnsi="微软雅黑" w:eastAsia="微软雅黑"/>
                <w:b/>
                <w:sz w:val="21"/>
              </w:rPr>
              <w:t>合规结论</w:t>
            </w:r>
          </w:p>
        </w:tc>
      </w:tr>
      <w:tr>
        <w:tc>
          <w:tcPr>
            <w:tcW w:type="dxa" w:w="1701"/>
          </w:tcPr>
          <w:p>
            <w:pPr>
              <w:jc w:val="left"/>
            </w:pPr>
            <w:r/>
            <w:r>
              <w:rPr>
                <w:rFonts w:ascii="Times New Roman" w:hAnsi="Times New Roman" w:eastAsia="宋体"/>
                <w:b w:val="0"/>
                <w:sz w:val="21"/>
              </w:rPr>
              <w:t>统一风险提示</w:t>
            </w:r>
          </w:p>
        </w:tc>
        <w:tc>
          <w:tcPr>
            <w:tcW w:type="dxa" w:w="1361"/>
          </w:tcPr>
          <w:p>
            <w:pPr>
              <w:jc w:val="center"/>
            </w:pPr>
            <w:r/>
            <w:r>
              <w:rPr>
                <w:rFonts w:ascii="Times New Roman" w:hAnsi="Times New Roman" w:eastAsia="宋体"/>
                <w:b w:val="0"/>
                <w:sz w:val="21"/>
              </w:rPr>
              <w:t>4.68</w:t>
            </w:r>
          </w:p>
        </w:tc>
        <w:tc>
          <w:tcPr>
            <w:tcW w:type="dxa" w:w="1247"/>
          </w:tcPr>
          <w:p>
            <w:pPr>
              <w:jc w:val="center"/>
            </w:pPr>
            <w:r/>
            <w:r>
              <w:rPr>
                <w:rFonts w:ascii="Times New Roman" w:hAnsi="Times New Roman" w:eastAsia="宋体"/>
                <w:b w:val="0"/>
                <w:sz w:val="21"/>
              </w:rPr>
              <w:t>45.8%</w:t>
            </w:r>
          </w:p>
        </w:tc>
        <w:tc>
          <w:tcPr>
            <w:tcW w:type="dxa" w:w="1134"/>
          </w:tcPr>
          <w:p>
            <w:pPr>
              <w:jc w:val="center"/>
            </w:pPr>
            <w:r/>
            <w:r>
              <w:rPr>
                <w:rFonts w:ascii="Times New Roman" w:hAnsi="Times New Roman" w:eastAsia="宋体"/>
                <w:b w:val="0"/>
                <w:sz w:val="21"/>
              </w:rPr>
              <w:t>11.3%</w:t>
            </w:r>
          </w:p>
        </w:tc>
        <w:tc>
          <w:tcPr>
            <w:tcW w:type="dxa" w:w="1134"/>
          </w:tcPr>
          <w:p>
            <w:pPr>
              <w:jc w:val="center"/>
            </w:pPr>
            <w:r/>
            <w:r>
              <w:rPr>
                <w:rFonts w:ascii="Times New Roman" w:hAnsi="Times New Roman" w:eastAsia="宋体"/>
                <w:b w:val="0"/>
                <w:sz w:val="21"/>
              </w:rPr>
              <w:t>10.9%</w:t>
            </w:r>
          </w:p>
        </w:tc>
        <w:tc>
          <w:tcPr>
            <w:tcW w:type="dxa" w:w="2381"/>
          </w:tcPr>
          <w:p>
            <w:pPr>
              <w:jc w:val="center"/>
            </w:pPr>
            <w:r/>
            <w:r>
              <w:rPr>
                <w:rFonts w:ascii="Times New Roman" w:hAnsi="Times New Roman" w:eastAsia="宋体"/>
                <w:b w:val="0"/>
                <w:sz w:val="21"/>
              </w:rPr>
              <w:t>草稿 2 项违规，已拦下改写</w:t>
            </w:r>
          </w:p>
        </w:tc>
      </w:tr>
      <w:tr>
        <w:tc>
          <w:tcPr>
            <w:tcW w:type="dxa" w:w="1701"/>
          </w:tcPr>
          <w:p>
            <w:pPr>
              <w:jc w:val="left"/>
            </w:pPr>
            <w:r/>
            <w:r>
              <w:rPr>
                <w:rFonts w:ascii="Times New Roman" w:hAnsi="Times New Roman" w:eastAsia="宋体"/>
                <w:b w:val="0"/>
                <w:sz w:val="21"/>
              </w:rPr>
              <w:t>分群差异化沟通</w:t>
            </w:r>
          </w:p>
        </w:tc>
        <w:tc>
          <w:tcPr>
            <w:tcW w:type="dxa" w:w="1361"/>
          </w:tcPr>
          <w:p>
            <w:pPr>
              <w:jc w:val="center"/>
            </w:pPr>
            <w:r/>
            <w:r>
              <w:rPr>
                <w:rFonts w:ascii="Times New Roman" w:hAnsi="Times New Roman" w:eastAsia="宋体"/>
                <w:b w:val="0"/>
                <w:sz w:val="21"/>
              </w:rPr>
              <w:t>4.20</w:t>
            </w:r>
          </w:p>
        </w:tc>
        <w:tc>
          <w:tcPr>
            <w:tcW w:type="dxa" w:w="1247"/>
          </w:tcPr>
          <w:p>
            <w:pPr>
              <w:jc w:val="center"/>
            </w:pPr>
            <w:r/>
            <w:r>
              <w:rPr>
                <w:rFonts w:ascii="Times New Roman" w:hAnsi="Times New Roman" w:eastAsia="宋体"/>
                <w:b w:val="0"/>
                <w:sz w:val="21"/>
              </w:rPr>
              <w:t>48.9%</w:t>
            </w:r>
          </w:p>
        </w:tc>
        <w:tc>
          <w:tcPr>
            <w:tcW w:type="dxa" w:w="1134"/>
          </w:tcPr>
          <w:p>
            <w:pPr>
              <w:jc w:val="center"/>
            </w:pPr>
            <w:r/>
            <w:r>
              <w:rPr>
                <w:rFonts w:ascii="Times New Roman" w:hAnsi="Times New Roman" w:eastAsia="宋体"/>
                <w:b w:val="0"/>
                <w:sz w:val="21"/>
              </w:rPr>
              <w:t>5.6%</w:t>
            </w:r>
          </w:p>
        </w:tc>
        <w:tc>
          <w:tcPr>
            <w:tcW w:type="dxa" w:w="1134"/>
          </w:tcPr>
          <w:p>
            <w:pPr>
              <w:jc w:val="center"/>
            </w:pPr>
            <w:r/>
            <w:r>
              <w:rPr>
                <w:rFonts w:ascii="Times New Roman" w:hAnsi="Times New Roman" w:eastAsia="宋体"/>
                <w:b w:val="0"/>
                <w:sz w:val="21"/>
              </w:rPr>
              <w:t>8.6%</w:t>
            </w:r>
          </w:p>
        </w:tc>
        <w:tc>
          <w:tcPr>
            <w:tcW w:type="dxa" w:w="2381"/>
          </w:tcPr>
          <w:p>
            <w:pPr>
              <w:jc w:val="center"/>
            </w:pPr>
            <w:r/>
            <w:r>
              <w:rPr>
                <w:rFonts w:ascii="Times New Roman" w:hAnsi="Times New Roman" w:eastAsia="宋体"/>
                <w:b w:val="0"/>
                <w:sz w:val="21"/>
              </w:rPr>
              <w:t>无草稿违规</w:t>
            </w:r>
          </w:p>
        </w:tc>
      </w:tr>
      <w:tr>
        <w:tc>
          <w:tcPr>
            <w:tcW w:type="dxa" w:w="1701"/>
          </w:tcPr>
          <w:p>
            <w:pPr>
              <w:jc w:val="left"/>
            </w:pPr>
            <w:r/>
            <w:r>
              <w:rPr>
                <w:rFonts w:ascii="Times New Roman" w:hAnsi="Times New Roman" w:eastAsia="宋体"/>
                <w:b w:val="0"/>
                <w:sz w:val="21"/>
              </w:rPr>
              <w:t>不主动沟通</w:t>
            </w:r>
          </w:p>
        </w:tc>
        <w:tc>
          <w:tcPr>
            <w:tcW w:type="dxa" w:w="1361"/>
          </w:tcPr>
          <w:p>
            <w:pPr>
              <w:jc w:val="center"/>
            </w:pPr>
            <w:r/>
            <w:r>
              <w:rPr>
                <w:rFonts w:ascii="Times New Roman" w:hAnsi="Times New Roman" w:eastAsia="宋体"/>
                <w:b w:val="0"/>
                <w:sz w:val="21"/>
              </w:rPr>
              <w:t>0.00</w:t>
            </w:r>
          </w:p>
        </w:tc>
        <w:tc>
          <w:tcPr>
            <w:tcW w:type="dxa" w:w="1247"/>
          </w:tcPr>
          <w:p>
            <w:pPr>
              <w:jc w:val="center"/>
            </w:pPr>
            <w:r/>
            <w:r>
              <w:rPr>
                <w:rFonts w:ascii="Times New Roman" w:hAnsi="Times New Roman" w:eastAsia="宋体"/>
                <w:b w:val="0"/>
                <w:sz w:val="21"/>
              </w:rPr>
              <w:t>53.0%</w:t>
            </w:r>
          </w:p>
        </w:tc>
        <w:tc>
          <w:tcPr>
            <w:tcW w:type="dxa" w:w="1134"/>
          </w:tcPr>
          <w:p>
            <w:pPr>
              <w:jc w:val="center"/>
            </w:pPr>
            <w:r/>
            <w:r>
              <w:rPr>
                <w:rFonts w:ascii="Times New Roman" w:hAnsi="Times New Roman" w:eastAsia="宋体"/>
                <w:b w:val="0"/>
                <w:sz w:val="21"/>
              </w:rPr>
              <w:t>27.8%</w:t>
            </w:r>
          </w:p>
        </w:tc>
        <w:tc>
          <w:tcPr>
            <w:tcW w:type="dxa" w:w="1134"/>
          </w:tcPr>
          <w:p>
            <w:pPr>
              <w:jc w:val="center"/>
            </w:pPr>
            <w:r/>
            <w:r>
              <w:rPr>
                <w:rFonts w:ascii="Times New Roman" w:hAnsi="Times New Roman" w:eastAsia="宋体"/>
                <w:b w:val="0"/>
                <w:sz w:val="21"/>
              </w:rPr>
              <w:t>16.1%</w:t>
            </w:r>
          </w:p>
        </w:tc>
        <w:tc>
          <w:tcPr>
            <w:tcW w:type="dxa" w:w="2381"/>
          </w:tcPr>
          <w:p>
            <w:pPr>
              <w:jc w:val="center"/>
            </w:pPr>
            <w:r/>
            <w:r>
              <w:rPr>
                <w:rFonts w:ascii="Times New Roman" w:hAnsi="Times New Roman" w:eastAsia="宋体"/>
                <w:b w:val="0"/>
                <w:sz w:val="21"/>
              </w:rPr>
              <w:t>无草稿违规</w:t>
            </w:r>
          </w:p>
        </w:tc>
      </w:tr>
    </w:tbl>
    <w:p>
      <w:pPr>
        <w:spacing w:before="80" w:after="240"/>
        <w:jc w:val="center"/>
      </w:pPr>
      <w:r>
        <w:rPr>
          <w:rFonts w:ascii="微软雅黑" w:hAnsi="微软雅黑" w:eastAsia="微软雅黑"/>
          <w:b w:val="0"/>
          <w:color w:val="475569"/>
          <w:sz w:val="21"/>
        </w:rPr>
        <w:t>表 8 案例场景下三套方案的实测结果（跌幅 30%、持续 48 小时、300 名客户、种子 20260830）</w:t>
      </w:r>
    </w:p>
    <w:p>
      <w:pPr>
        <w:spacing w:after="120" w:line="360" w:lineRule="auto"/>
        <w:ind w:firstLine="480"/>
      </w:pPr>
      <w:r>
        <w:rPr>
          <w:rFonts w:ascii="Times New Roman" w:hAnsi="Times New Roman" w:eastAsia="宋体"/>
          <w:b w:val="0"/>
          <w:sz w:val="24"/>
        </w:rPr>
        <w:t>按综合推荐度排序，统一风险提示胜出：它的风险改善最明显，而人力成本远低于分群沟通。需要说明两点。一是该方案原本的违规话术已被拦下，参与推演的是改写后的合规版本，因此上面的数值反映的是合规版本的预期效果，不是违规话术的效果。二是这个结论随场景变化——把跌幅换成 5% 时推荐「不主动沟通」，换成 50% 且持续 72 小时时推荐「分群差异化沟通」，变化方向见 4.3 与 4.4。</w:t>
      </w:r>
    </w:p>
    <w:p>
      <w:pPr>
        <w:spacing w:after="120" w:line="360" w:lineRule="auto"/>
        <w:ind w:firstLine="480"/>
      </w:pPr>
      <w:r>
        <w:rPr>
          <w:rFonts w:ascii="Times New Roman" w:hAnsi="Times New Roman" w:eastAsia="宋体"/>
          <w:b w:val="0"/>
          <w:sz w:val="24"/>
        </w:rPr>
        <w:t>**第五步，输出可执行的联系队列。** 系统按每位客户在整段推演中的峰值暴露排序，得到优先联系名单：高风险 67 名、中风险 229 名、低风险 4 名。排在首位的是 C-1012，推演期内峰值风险 56%、持仓回撤 33.7%，系统同时给出这位客户的沟通渠道、触达时机与建议话术。之所以用峰值而不是期末值排序，是因为干预生效之后大多数客户的期末状态都会回落，按期末值排会得到一份几乎人人低风险的名单，失去业务价值。</w:t>
      </w:r>
    </w:p>
    <w:p>
      <w:pPr>
        <w:spacing w:after="120" w:line="360" w:lineRule="auto"/>
        <w:ind w:firstLine="480"/>
      </w:pPr>
      <w:r>
        <w:rPr>
          <w:rFonts w:ascii="Times New Roman" w:hAnsi="Times New Roman" w:eastAsia="宋体"/>
          <w:b w:val="0"/>
          <w:sz w:val="24"/>
        </w:rPr>
        <w:t>整个过程每一步都写入审计：场景参数、工具序列、每步耗时、命中的合规规则与规则版本、随机种子。导出的报告由同一份数据生成，与界面口径一致。</w:t>
      </w:r>
    </w:p>
    <w:p>
      <w:pPr>
        <w:spacing w:before="200" w:after="120"/>
      </w:pPr>
      <w:r>
        <w:rPr>
          <w:rFonts w:ascii="微软雅黑" w:hAnsi="微软雅黑" w:eastAsia="微软雅黑"/>
          <w:b/>
          <w:color w:val="1E3A8A"/>
          <w:sz w:val="27"/>
        </w:rPr>
        <w:t>4.8 界面与运行实测</w:t>
      </w:r>
    </w:p>
    <w:p>
      <w:pPr>
        <w:spacing w:after="120" w:line="360" w:lineRule="auto"/>
        <w:ind w:firstLine="480"/>
      </w:pPr>
      <w:r>
        <w:rPr>
          <w:rFonts w:ascii="Times New Roman" w:hAnsi="Times New Roman" w:eastAsia="宋体"/>
          <w:b w:val="0"/>
          <w:sz w:val="24"/>
        </w:rPr>
        <w:t>下面五张截图取自本地开发环境的一次真实任务，输入为市场今天下跌 30%，分析持有高波动产品的客户，生成三套沟通方案，模拟未来 48 小时的客户群体反应，并指出应当优先联系谁。任务在规则模式下完成，该次实测首帧反馈约 0.35 秒、端到端 0.4 秒，本地引擎复算耗时十余毫秒，与服务端返回的聚合签名一致。需要说明的是：界面上的具体数值会随每次运行的环境负载略有波动，对外引用请以 artifacts/metrics/latest.md 中的指标快照为准，同版本的复测值为首帧 432 毫秒。</w:t>
      </w:r>
    </w:p>
    <w:p>
      <w:pPr>
        <w:spacing w:before="160" w:after="40"/>
        <w:jc w:val="center"/>
      </w:pPr>
      <w:r>
        <w:drawing>
          <wp:inline xmlns:a="http://schemas.openxmlformats.org/drawingml/2006/main" xmlns:pic="http://schemas.openxmlformats.org/drawingml/2006/picture">
            <wp:extent cx="5616000" cy="5491200"/>
            <wp:docPr id="4" name="Picture 4"/>
            <wp:cNvGraphicFramePr>
              <a:graphicFrameLocks noChangeAspect="1"/>
            </wp:cNvGraphicFramePr>
            <a:graphic>
              <a:graphicData uri="http://schemas.openxmlformats.org/drawingml/2006/picture">
                <pic:pic>
                  <pic:nvPicPr>
                    <pic:cNvPr id="0" name="01-智能任务中心.png"/>
                    <pic:cNvPicPr/>
                  </pic:nvPicPr>
                  <pic:blipFill>
                    <a:blip r:embed="rId12"/>
                    <a:stretch>
                      <a:fillRect/>
                    </a:stretch>
                  </pic:blipFill>
                  <pic:spPr>
                    <a:xfrm>
                      <a:off x="0" y="0"/>
                      <a:ext cx="5616000" cy="5491200"/>
                    </a:xfrm>
                    <a:prstGeom prst="rect"/>
                  </pic:spPr>
                </pic:pic>
              </a:graphicData>
            </a:graphic>
          </wp:inline>
        </w:drawing>
      </w:r>
    </w:p>
    <w:p>
      <w:pPr>
        <w:spacing w:after="240"/>
        <w:jc w:val="center"/>
      </w:pPr>
      <w:r>
        <w:rPr>
          <w:rFonts w:ascii="微软雅黑" w:hAnsi="微软雅黑" w:eastAsia="微软雅黑"/>
          <w:b w:val="0"/>
          <w:color w:val="475569"/>
          <w:sz w:val="21"/>
        </w:rPr>
        <w:t>图 4 智能任务中心：规划步骤、工具轨迹与执行概览</w:t>
      </w:r>
    </w:p>
    <w:p>
      <w:pPr>
        <w:spacing w:before="160" w:after="40"/>
        <w:jc w:val="center"/>
      </w:pPr>
      <w:r>
        <w:drawing>
          <wp:inline xmlns:a="http://schemas.openxmlformats.org/drawingml/2006/main" xmlns:pic="http://schemas.openxmlformats.org/drawingml/2006/picture">
            <wp:extent cx="4589748" cy="6839999"/>
            <wp:docPr id="5" name="Picture 5"/>
            <wp:cNvGraphicFramePr>
              <a:graphicFrameLocks noChangeAspect="1"/>
            </wp:cNvGraphicFramePr>
            <a:graphic>
              <a:graphicData uri="http://schemas.openxmlformats.org/drawingml/2006/picture">
                <pic:pic>
                  <pic:nvPicPr>
                    <pic:cNvPr id="0" name="02-客户洞察中心.png"/>
                    <pic:cNvPicPr/>
                  </pic:nvPicPr>
                  <pic:blipFill>
                    <a:blip r:embed="rId13"/>
                    <a:stretch>
                      <a:fillRect/>
                    </a:stretch>
                  </pic:blipFill>
                  <pic:spPr>
                    <a:xfrm>
                      <a:off x="0" y="0"/>
                      <a:ext cx="4589748" cy="6839999"/>
                    </a:xfrm>
                    <a:prstGeom prst="rect"/>
                  </pic:spPr>
                </pic:pic>
              </a:graphicData>
            </a:graphic>
          </wp:inline>
        </w:drawing>
      </w:r>
    </w:p>
    <w:p>
      <w:pPr>
        <w:spacing w:after="240"/>
        <w:jc w:val="center"/>
      </w:pPr>
      <w:r>
        <w:rPr>
          <w:rFonts w:ascii="微软雅黑" w:hAnsi="微软雅黑" w:eastAsia="微软雅黑"/>
          <w:b w:val="0"/>
          <w:color w:val="475569"/>
          <w:sz w:val="21"/>
        </w:rPr>
        <w:t>图 5 客户洞察中心：优先联系名单与一人一策建议</w:t>
      </w:r>
    </w:p>
    <w:p>
      <w:pPr>
        <w:spacing w:before="160" w:after="40"/>
        <w:jc w:val="center"/>
      </w:pPr>
      <w:r>
        <w:drawing>
          <wp:inline xmlns:a="http://schemas.openxmlformats.org/drawingml/2006/main" xmlns:pic="http://schemas.openxmlformats.org/drawingml/2006/picture">
            <wp:extent cx="4046672" cy="6840000"/>
            <wp:docPr id="6" name="Picture 6"/>
            <wp:cNvGraphicFramePr>
              <a:graphicFrameLocks noChangeAspect="1"/>
            </wp:cNvGraphicFramePr>
            <a:graphic>
              <a:graphicData uri="http://schemas.openxmlformats.org/drawingml/2006/picture">
                <pic:pic>
                  <pic:nvPicPr>
                    <pic:cNvPr id="0" name="03-群体行为沙盘.png"/>
                    <pic:cNvPicPr/>
                  </pic:nvPicPr>
                  <pic:blipFill>
                    <a:blip r:embed="rId14"/>
                    <a:stretch>
                      <a:fillRect/>
                    </a:stretch>
                  </pic:blipFill>
                  <pic:spPr>
                    <a:xfrm>
                      <a:off x="0" y="0"/>
                      <a:ext cx="4046672" cy="6840000"/>
                    </a:xfrm>
                    <a:prstGeom prst="rect"/>
                  </pic:spPr>
                </pic:pic>
              </a:graphicData>
            </a:graphic>
          </wp:inline>
        </w:drawing>
      </w:r>
    </w:p>
    <w:p>
      <w:pPr>
        <w:spacing w:after="240"/>
        <w:jc w:val="center"/>
      </w:pPr>
      <w:r>
        <w:rPr>
          <w:rFonts w:ascii="微软雅黑" w:hAnsi="微软雅黑" w:eastAsia="微软雅黑"/>
          <w:b w:val="0"/>
          <w:color w:val="475569"/>
          <w:sz w:val="21"/>
        </w:rPr>
        <w:t>图 6 群体行为沙盘：三套策略对比与分群传播网络回放</w:t>
      </w:r>
    </w:p>
    <w:p>
      <w:pPr>
        <w:spacing w:before="160" w:after="40"/>
        <w:jc w:val="center"/>
      </w:pPr>
      <w:r>
        <w:drawing>
          <wp:inline xmlns:a="http://schemas.openxmlformats.org/drawingml/2006/main" xmlns:pic="http://schemas.openxmlformats.org/drawingml/2006/picture">
            <wp:extent cx="3794144" cy="6839998"/>
            <wp:docPr id="7" name="Picture 7"/>
            <wp:cNvGraphicFramePr>
              <a:graphicFrameLocks noChangeAspect="1"/>
            </wp:cNvGraphicFramePr>
            <a:graphic>
              <a:graphicData uri="http://schemas.openxmlformats.org/drawingml/2006/picture">
                <pic:pic>
                  <pic:nvPicPr>
                    <pic:cNvPr id="0" name="04-策略与审计.png"/>
                    <pic:cNvPicPr/>
                  </pic:nvPicPr>
                  <pic:blipFill>
                    <a:blip r:embed="rId15"/>
                    <a:stretch>
                      <a:fillRect/>
                    </a:stretch>
                  </pic:blipFill>
                  <pic:spPr>
                    <a:xfrm>
                      <a:off x="0" y="0"/>
                      <a:ext cx="3794144" cy="6839998"/>
                    </a:xfrm>
                    <a:prstGeom prst="rect"/>
                  </pic:spPr>
                </pic:pic>
              </a:graphicData>
            </a:graphic>
          </wp:inline>
        </w:drawing>
      </w:r>
    </w:p>
    <w:p>
      <w:pPr>
        <w:spacing w:after="240"/>
        <w:jc w:val="center"/>
      </w:pPr>
      <w:r>
        <w:rPr>
          <w:rFonts w:ascii="微软雅黑" w:hAnsi="微软雅黑" w:eastAsia="微软雅黑"/>
          <w:b w:val="0"/>
          <w:color w:val="475569"/>
          <w:sz w:val="21"/>
        </w:rPr>
        <w:t>图 7 策略与审计：结论卡、方案对比与合规发现</w:t>
      </w:r>
    </w:p>
    <w:p>
      <w:pPr>
        <w:spacing w:before="160" w:after="40"/>
        <w:jc w:val="center"/>
      </w:pPr>
      <w:r>
        <w:drawing>
          <wp:inline xmlns:a="http://schemas.openxmlformats.org/drawingml/2006/main" xmlns:pic="http://schemas.openxmlformats.org/drawingml/2006/picture">
            <wp:extent cx="1184130" cy="6839995"/>
            <wp:docPr id="8" name="Picture 8"/>
            <wp:cNvGraphicFramePr>
              <a:graphicFrameLocks noChangeAspect="1"/>
            </wp:cNvGraphicFramePr>
            <a:graphic>
              <a:graphicData uri="http://schemas.openxmlformats.org/drawingml/2006/picture">
                <pic:pic>
                  <pic:nvPicPr>
                    <pic:cNvPr id="0" name="05-Skill与审批.png"/>
                    <pic:cNvPicPr/>
                  </pic:nvPicPr>
                  <pic:blipFill>
                    <a:blip r:embed="rId16"/>
                    <a:stretch>
                      <a:fillRect/>
                    </a:stretch>
                  </pic:blipFill>
                  <pic:spPr>
                    <a:xfrm>
                      <a:off x="0" y="0"/>
                      <a:ext cx="1184130" cy="6839995"/>
                    </a:xfrm>
                    <a:prstGeom prst="rect"/>
                  </pic:spPr>
                </pic:pic>
              </a:graphicData>
            </a:graphic>
          </wp:inline>
        </w:drawing>
      </w:r>
    </w:p>
    <w:p>
      <w:pPr>
        <w:spacing w:after="240"/>
        <w:jc w:val="center"/>
      </w:pPr>
      <w:r>
        <w:rPr>
          <w:rFonts w:ascii="微软雅黑" w:hAnsi="微软雅黑" w:eastAsia="微软雅黑"/>
          <w:b w:val="0"/>
          <w:color w:val="475569"/>
          <w:sz w:val="21"/>
        </w:rPr>
        <w:t>图 8 技能与审批：候选技能、指标快照与人工审批记录</w:t>
      </w:r>
    </w:p>
    <w:p>
      <w:pPr>
        <w:spacing w:before="320" w:after="160"/>
      </w:pPr>
      <w:r>
        <w:rPr>
          <w:rFonts w:ascii="微软雅黑" w:hAnsi="微软雅黑" w:eastAsia="微软雅黑"/>
          <w:b/>
          <w:color w:val="0F172A"/>
          <w:sz w:val="32"/>
        </w:rPr>
        <w:t>五、创新点</w:t>
      </w:r>
    </w:p>
    <w:p>
      <w:pPr>
        <w:spacing w:after="120" w:line="360" w:lineRule="auto"/>
        <w:ind w:firstLine="480"/>
      </w:pPr>
      <w:r>
        <w:rPr>
          <w:rFonts w:ascii="Times New Roman" w:hAnsi="Times New Roman" w:eastAsia="宋体"/>
          <w:b w:val="0"/>
          <w:sz w:val="24"/>
        </w:rPr>
        <w:t>本项目的创新点分为一条主创新与四项支撑创新。主创新回答「这个产品能做什么是别的工具做不到的」，支撑创新回答「为什么它能做到、且结果可以被信任」。</w:t>
      </w:r>
    </w:p>
    <w:p>
      <w:pPr>
        <w:spacing w:before="200" w:after="120"/>
      </w:pPr>
      <w:r>
        <w:rPr>
          <w:rFonts w:ascii="微软雅黑" w:hAnsi="微软雅黑" w:eastAsia="微软雅黑"/>
          <w:b/>
          <w:color w:val="1E3A8A"/>
          <w:sz w:val="27"/>
        </w:rPr>
        <w:t>5.1 主创新：在触达客户之前，预演客户群体的反应</w:t>
      </w:r>
    </w:p>
    <w:p>
      <w:pPr>
        <w:spacing w:after="120" w:line="360" w:lineRule="auto"/>
        <w:ind w:firstLine="480"/>
      </w:pPr>
      <w:r>
        <w:rPr>
          <w:rFonts w:ascii="Times New Roman" w:hAnsi="Times New Roman" w:eastAsia="宋体"/>
          <w:b w:val="0"/>
          <w:sz w:val="24"/>
        </w:rPr>
        <w:t>多智能体行为模拟在金融领域的常见用法是预测市场：让不同风格的交易者博弈，推演价格冲击。我们把同样的思路转向客户经营，让虚拟客户对服务策略作出反应。这一转向带来的差异是评价对象的变化：市场模拟关心价格，客户模拟关心的是接受、信任、投诉与流失。项目显式建模了客户的从众效应、情绪扩散与分群差异，三类关系边分别代表相似性、社交影响与统一服务触达，在 300 名客户下生成约 900 条可复现的关系边参与传播计算，并纳入消融实验验证其贡献。</w:t>
      </w:r>
    </w:p>
    <w:p>
      <w:pPr>
        <w:spacing w:after="120" w:line="360" w:lineRule="auto"/>
        <w:ind w:firstLine="480"/>
      </w:pPr>
      <w:r>
        <w:rPr>
          <w:rFonts w:ascii="Times New Roman" w:hAnsi="Times New Roman" w:eastAsia="宋体"/>
          <w:b w:val="0"/>
          <w:sz w:val="24"/>
        </w:rPr>
        <w:t>这条主线由四个相互咬合的机制组成，缺一不可。</w:t>
      </w:r>
    </w:p>
    <w:p>
      <w:pPr>
        <w:pStyle w:val="ListBullet"/>
        <w:spacing w:after="60" w:line="336" w:lineRule="auto"/>
      </w:pPr>
      <w:r>
        <w:rPr>
          <w:rFonts w:ascii="Times New Roman" w:hAnsi="Times New Roman" w:eastAsia="宋体"/>
          <w:b w:val="0"/>
          <w:sz w:val="24"/>
        </w:rPr>
        <w:t>客户级状态建模：每位客户有自己的六项心理参数、持仓弹性与历史状态，不是把客群当成一个平均值。同一场下跌下，不同客户的恐慌、卖出与流失各不相同。</w:t>
      </w:r>
    </w:p>
    <w:p>
      <w:pPr>
        <w:pStyle w:val="ListBullet"/>
        <w:spacing w:after="60" w:line="336" w:lineRule="auto"/>
      </w:pPr>
      <w:r>
        <w:rPr>
          <w:rFonts w:ascii="Times New Roman" w:hAnsi="Times New Roman" w:eastAsia="宋体"/>
          <w:b w:val="0"/>
          <w:sz w:val="24"/>
        </w:rPr>
        <w:t>三类关系网络上的情绪传导：相似性、社交影响与统一服务触达三类关系边参与邻居状态更新，因此情绪会扩散、会放大，也会因为关键节点被干预而收敛——这是只看单个客户的画像工具给不出的。</w:t>
      </w:r>
    </w:p>
    <w:p>
      <w:pPr>
        <w:pStyle w:val="ListBullet"/>
        <w:spacing w:after="60" w:line="336" w:lineRule="auto"/>
      </w:pPr>
      <w:r>
        <w:rPr>
          <w:rFonts w:ascii="Times New Roman" w:hAnsi="Times New Roman" w:eastAsia="宋体"/>
          <w:b w:val="0"/>
          <w:sz w:val="24"/>
        </w:rPr>
        <w:t>策略作为可干预变量：三套候选沟通方案各自改变触达覆盖率、人工深度与话术贴合度，模拟回答的是「换一种沟通方式，客户反应会怎么变」，而不是只描述客户现状。</w:t>
      </w:r>
    </w:p>
    <w:p>
      <w:pPr>
        <w:spacing w:after="120" w:line="360" w:lineRule="auto"/>
        <w:ind w:firstLine="480"/>
      </w:pPr>
      <w:r>
        <w:rPr>
          <w:rFonts w:ascii="Times New Roman" w:hAnsi="Times New Roman" w:eastAsia="宋体"/>
          <w:b w:val="0"/>
          <w:sz w:val="24"/>
        </w:rPr>
        <w:t>在模拟中，干预生效之后客户的期末恐慌会回落到接近零，如果按期末状态给客户排序，就会得到一份人人低风险的名单，失去业务价值。我们改为记录每位客户在整个模拟窗口内的峰值风险暴露，并以此为口径生成干预队列与优先级，同时保留逐时间步状态用于回放。这项调整让系统的输出从描述性指标变成可执行的行动清单。</w:t>
      </w:r>
    </w:p>
    <w:p>
      <w:pPr>
        <w:spacing w:after="120" w:line="360" w:lineRule="auto"/>
        <w:ind w:firstLine="480"/>
      </w:pPr>
      <w:r>
        <w:rPr>
          <w:rFonts w:ascii="Times New Roman" w:hAnsi="Times New Roman" w:eastAsia="宋体"/>
          <w:b w:val="0"/>
          <w:sz w:val="24"/>
        </w:rPr>
        <w:t>四者合起来的结果是：把客户服务策略的评估节点从「触达之后」前移到「触达之前」，并且在同一个沙盘里同时回答「该不该发、发给谁、怎么说、大概会怎样」。</w:t>
      </w:r>
    </w:p>
    <w:p>
      <w:pPr>
        <w:spacing w:before="200" w:after="120"/>
      </w:pPr>
      <w:r>
        <w:rPr>
          <w:rFonts w:ascii="微软雅黑" w:hAnsi="微软雅黑" w:eastAsia="微软雅黑"/>
          <w:b/>
          <w:color w:val="1E3A8A"/>
          <w:sz w:val="27"/>
        </w:rPr>
        <w:t>5.2 支撑创新一：沟通策略的参数化建模与引擎侧搜索</w:t>
      </w:r>
    </w:p>
    <w:p>
      <w:pPr>
        <w:spacing w:after="120" w:line="360" w:lineRule="auto"/>
        <w:ind w:firstLine="480"/>
      </w:pPr>
      <w:r>
        <w:rPr>
          <w:rFonts w:ascii="Times New Roman" w:hAnsi="Times New Roman" w:eastAsia="宋体"/>
          <w:b w:val="0"/>
          <w:sz w:val="24"/>
        </w:rPr>
        <w:t>策略比较类功能最容易出现的缺陷是结论被写死：三套方案只差几个常数，而排序公式恰好只包含其中一套占优的维度，于是无论什么场景都是同一套方案获胜。本项目在早期版本存在这一缺陷（840 个场景中由分群沟通 100% 夺冠），重构后改为参数化建模：策略由触达覆盖率、人工深度、内容个性化三个杠杆定义，其余参数由杠杆推导；安抚经逐客户门控生效，覆盖率因此成为真实输入；推荐顺序由净效用在每个场景算出，净效用等于避险收益减去触达成本与唤醒成本。三套锚点退化为参数空间中的三个点，引擎另外在该空间做 27 点网格搜索。需要如实说明的是：效用权重是业务参数而非模型参数——避险收益与触达成本量纲不同，二者的兑换率无法从合成数据估计，只能由业务方设定；因此我们的结论只建立在与权重无关的结构性质上（跌幅越大、推荐方案的人工深度不下降，90 条场景序列零违反），而把夺冠配比连同权重敏感性曲面一并披露。另有两点边界：搜索结果只按参数直接评估，尚未生成草稿文本、也未经合规审查，因此不作为可执行推荐；异步任务链路与同步调试接口均已开启该搜索。</w:t>
      </w:r>
    </w:p>
    <w:p>
      <w:pPr>
        <w:spacing w:before="200" w:after="120"/>
      </w:pPr>
      <w:r>
        <w:rPr>
          <w:rFonts w:ascii="微软雅黑" w:hAnsi="微软雅黑" w:eastAsia="微软雅黑"/>
          <w:b/>
          <w:color w:val="1E3A8A"/>
          <w:sz w:val="27"/>
        </w:rPr>
        <w:t>5.3 支撑创新二：模型与数值引擎职责分离</w:t>
      </w:r>
    </w:p>
    <w:p>
      <w:pPr>
        <w:spacing w:after="120" w:line="360" w:lineRule="auto"/>
        <w:ind w:firstLine="480"/>
      </w:pPr>
      <w:r>
        <w:rPr>
          <w:rFonts w:ascii="Times New Roman" w:hAnsi="Times New Roman" w:eastAsia="宋体"/>
          <w:b w:val="0"/>
          <w:sz w:val="24"/>
        </w:rPr>
        <w:t>通用智能体项目常见的做法是把全部判断交给模型，代价是不可复现与不可审计。我们把模型限制在它擅长的环节：理解目标、规划步骤、抽取参数、起草策略、解释结果；把大规模群体模拟与合规判定交给确定性代码。由此得到两个直接好处：同一场景与种子必然复现，聚合签名可以像单元测试一样做回归；模型措辞的变化不会改变数值结论，审计时可以把模型版本与规则版本分开追溯。</w:t>
      </w:r>
    </w:p>
    <w:p>
      <w:pPr>
        <w:spacing w:before="200" w:after="120"/>
      </w:pPr>
      <w:r>
        <w:rPr>
          <w:rFonts w:ascii="微软雅黑" w:hAnsi="微软雅黑" w:eastAsia="微软雅黑"/>
          <w:b/>
          <w:color w:val="1E3A8A"/>
          <w:sz w:val="27"/>
        </w:rPr>
        <w:t>5.4 支撑创新三：合规作为不可绕过的硬边界</w:t>
      </w:r>
    </w:p>
    <w:p>
      <w:pPr>
        <w:spacing w:after="120" w:line="360" w:lineRule="auto"/>
        <w:ind w:firstLine="480"/>
      </w:pPr>
      <w:r>
        <w:rPr>
          <w:rFonts w:ascii="Times New Roman" w:hAnsi="Times New Roman" w:eastAsia="宋体"/>
          <w:b w:val="0"/>
          <w:sz w:val="24"/>
        </w:rPr>
        <w:t>合规检查在本项目中不是模型的一环，而是位于模型之外的执行器。规则以注册表形式管理，附带否定语境识别与适当性矩阵。关键设计是：策略草稿在进入数值模拟之前先过合规审查，命中阻断级规则时既强制改写为合规版本，又清除该违规话术在模拟中的情绪放大通道。因此合规拦截会真实改变模拟结果，而不是只改写一段展示文本——关闭合规层会让统一风险提示策略的恐慌峰值上升 5.4 个百分点，这一差异在消融实验中可复现。规则集同时服务于模拟流程与独立的检查接口，避免出现两套口径。我们把这一点视为智能体进入金融业务的前置条件。</w:t>
      </w:r>
    </w:p>
    <w:p>
      <w:pPr>
        <w:spacing w:before="200" w:after="120"/>
      </w:pPr>
      <w:r>
        <w:rPr>
          <w:rFonts w:ascii="微软雅黑" w:hAnsi="微软雅黑" w:eastAsia="微软雅黑"/>
          <w:b/>
          <w:color w:val="1E3A8A"/>
          <w:sz w:val="27"/>
        </w:rPr>
        <w:t>5.5 支撑创新四：可验证的评测体系</w:t>
      </w:r>
    </w:p>
    <w:p>
      <w:pPr>
        <w:spacing w:after="120" w:line="360" w:lineRule="auto"/>
        <w:ind w:firstLine="480"/>
      </w:pPr>
      <w:r>
        <w:rPr>
          <w:rFonts w:ascii="Times New Roman" w:hAnsi="Times New Roman" w:eastAsia="宋体"/>
          <w:b w:val="0"/>
          <w:sz w:val="24"/>
        </w:rPr>
        <w:t>项目建立了四类可复现的评测材料：20 个标准业务任务用于衡量链路完整率与场景抽取一致率，630 个参数的扫描场景用于检验沟通策略推荐的结构性质与权重敏感性，32 条带标签的合规语料用于衡量召回率与误拦截率，四个消融开关与四种对照模式用于说明各层贡献与方案必要性。所有指标由脚本自动生成并记录版本号、规则版本、随机种子与样本量。我们已经移除了「规划成功率」这类在未接入模型时完全无法失败的指标，并新增了跨效用权重的单调性检验；但仍需如实说明：剩余指标里有少数与标定目标存在耦合（例如断言三种方案都能夺冠，其配比随权重变化），这类指标只能作为回归守卫，不构成独立验证，已在口径说明中标注。</w:t>
      </w:r>
    </w:p>
    <w:p>
      <w:pPr>
        <w:spacing w:before="320" w:after="160"/>
      </w:pPr>
      <w:r>
        <w:rPr>
          <w:rFonts w:ascii="微软雅黑" w:hAnsi="微软雅黑" w:eastAsia="微软雅黑"/>
          <w:b/>
          <w:color w:val="0F172A"/>
          <w:sz w:val="32"/>
        </w:rPr>
        <w:t>六、可行性分析</w:t>
      </w:r>
    </w:p>
    <w:p>
      <w:pPr>
        <w:spacing w:before="200" w:after="120"/>
      </w:pPr>
      <w:r>
        <w:rPr>
          <w:rFonts w:ascii="微软雅黑" w:hAnsi="微软雅黑" w:eastAsia="微软雅黑"/>
          <w:b/>
          <w:color w:val="1E3A8A"/>
          <w:sz w:val="27"/>
        </w:rPr>
        <w:t>6.1 工程可行性</w:t>
      </w:r>
    </w:p>
    <w:p>
      <w:pPr>
        <w:spacing w:after="120" w:line="360" w:lineRule="auto"/>
        <w:ind w:firstLine="480"/>
      </w:pPr>
      <w:r>
        <w:rPr>
          <w:rFonts w:ascii="Times New Roman" w:hAnsi="Times New Roman" w:eastAsia="宋体"/>
          <w:b w:val="0"/>
          <w:sz w:val="24"/>
        </w:rPr>
        <w:t>系统采用 TypeScript 全栈实现，前端为 React，服务端运行在 Cloudflare Workers 之上，持久化使用 D1，系统的场景配置与客户字段采用显式契约（见 2.4 与第五章），官方数据到位后只需把字段映射到既有契约，不需要改动引擎结构；具体映射工作量取决于官方数据的实际格式，这一点要到数据到手后才能确认。数值模拟的计算量很小：1000 名客户 20 个时间步的完整模拟中位耗时为 72.0 毫秒，300 名客户 10 个时间步为 15.4 毫秒，单次任务的耗时瓶颈不在引擎侧。工程侧已建立自动化测试与指标脚本，静态检查、类型检查与构建均通过，改动可以持续回归。</w:t>
      </w:r>
    </w:p>
    <w:p>
      <w:pPr>
        <w:spacing w:before="200" w:after="120"/>
      </w:pPr>
      <w:r>
        <w:rPr>
          <w:rFonts w:ascii="微软雅黑" w:hAnsi="微软雅黑" w:eastAsia="微软雅黑"/>
          <w:b/>
          <w:color w:val="1E3A8A"/>
          <w:sz w:val="27"/>
        </w:rPr>
        <w:t>6.2 数据可行性</w:t>
      </w:r>
    </w:p>
    <w:p>
      <w:pPr>
        <w:spacing w:after="120" w:line="360" w:lineRule="auto"/>
        <w:ind w:firstLine="480"/>
      </w:pPr>
      <w:r>
        <w:rPr>
          <w:rFonts w:ascii="Times New Roman" w:hAnsi="Times New Roman" w:eastAsia="宋体"/>
          <w:b w:val="0"/>
          <w:sz w:val="24"/>
        </w:rPr>
        <w:t>在官方数据到位之前，系统使用合成脱敏数据完成能力验证，客户规模、原型分布与心理参数均可通过种子复现。客户画像所需的字段是交易记录、持仓结构、服务记录与反馈，这些字段在券商内部系统中有稳定来源。数据到位后的主要工作是校准，而不是重建：心理参数的取值区间与原型聚类结果需要用真实分布重新拟合，而引擎结构、规则集与接口契约不需要改动。</w:t>
      </w:r>
    </w:p>
    <w:p>
      <w:pPr>
        <w:spacing w:before="200" w:after="120"/>
      </w:pPr>
      <w:r>
        <w:rPr>
          <w:rFonts w:ascii="微软雅黑" w:hAnsi="微软雅黑" w:eastAsia="微软雅黑"/>
          <w:b/>
          <w:color w:val="1E3A8A"/>
          <w:sz w:val="27"/>
        </w:rPr>
        <w:t>6.3 合规与部署可行性</w:t>
      </w:r>
    </w:p>
    <w:p>
      <w:pPr>
        <w:spacing w:after="120" w:line="360" w:lineRule="auto"/>
        <w:ind w:firstLine="480"/>
      </w:pPr>
      <w:r>
        <w:rPr>
          <w:rFonts w:ascii="Times New Roman" w:hAnsi="Times New Roman" w:eastAsia="宋体"/>
          <w:b w:val="0"/>
          <w:sz w:val="24"/>
        </w:rPr>
        <w:t>产品只提供分析与建议，不自动触达真实客户、不执行交易，高风险动作必须经过人工审批。合规规则、适当性矩阵与审计留痕在架构上位于模型之外，规则版本与模型版本分开记录，便于接受合规部门审查。部署形态支持独立部署，也可以通过 API 或微前端嵌入既有工作台，不需要替换券商现有的 CRM 系统。模型接入采用 OpenAI 兼容接口，本地开发使用环境变量文件，部署使用平台密钥管理，密钥不进入代码仓库。</w:t>
      </w:r>
    </w:p>
    <w:p>
      <w:pPr>
        <w:spacing w:before="200" w:after="120"/>
      </w:pPr>
      <w:r>
        <w:rPr>
          <w:rFonts w:ascii="微软雅黑" w:hAnsi="微软雅黑" w:eastAsia="微软雅黑"/>
          <w:b/>
          <w:color w:val="1E3A8A"/>
          <w:sz w:val="27"/>
        </w:rPr>
        <w:t>6.4 成本与性能</w:t>
      </w:r>
    </w:p>
    <w:p>
      <w:pPr>
        <w:spacing w:after="120" w:line="360" w:lineRule="auto"/>
        <w:ind w:firstLine="480"/>
      </w:pPr>
      <w:r>
        <w:rPr>
          <w:rFonts w:ascii="Times New Roman" w:hAnsi="Times New Roman" w:eastAsia="宋体"/>
          <w:b w:val="0"/>
          <w:sz w:val="24"/>
        </w:rPr>
        <w:t>确定性数值模拟不产生模型调用成本，模型调用集中在目标理解、场景抽取、策略起草与结果解释四个环节，单次任务调用次数固定，成本可控。进度反馈采用增量事件推送而非轮询，首帧耗时与模型延迟解耦，在未配置模型密钥的规则模式下首帧实测为 360 至 450 毫秒，端到端在 0.5 秒以内。模型超时、格式错误、知识缺失与模拟失败四类异常都有降级路径，不会导致任务静默失败。</w:t>
      </w:r>
    </w:p>
    <w:p>
      <w:pPr>
        <w:spacing w:before="320" w:after="160"/>
      </w:pPr>
      <w:r>
        <w:rPr>
          <w:rFonts w:ascii="微软雅黑" w:hAnsi="微软雅黑" w:eastAsia="微软雅黑"/>
          <w:b/>
          <w:color w:val="0F172A"/>
          <w:sz w:val="32"/>
        </w:rPr>
        <w:t>七、风险与合规声明</w:t>
      </w:r>
    </w:p>
    <w:p>
      <w:pPr>
        <w:pStyle w:val="ListBullet"/>
        <w:spacing w:after="60" w:line="336" w:lineRule="auto"/>
      </w:pPr>
      <w:r>
        <w:rPr>
          <w:rFonts w:ascii="Times New Roman" w:hAnsi="Times New Roman" w:eastAsia="宋体"/>
          <w:b w:val="0"/>
          <w:sz w:val="24"/>
        </w:rPr>
        <w:t>数据声明：初赛阶段全部使用合成与脱敏数据，不包含任何真实客户信息，不宣称真实客户行为的预测准确率；指标仅用于说明系统在给定口径下的行为一致性与稳定性。</w:t>
      </w:r>
    </w:p>
    <w:p>
      <w:pPr>
        <w:pStyle w:val="ListBullet"/>
        <w:spacing w:after="60" w:line="336" w:lineRule="auto"/>
      </w:pPr>
      <w:r>
        <w:rPr>
          <w:rFonts w:ascii="Times New Roman" w:hAnsi="Times New Roman" w:eastAsia="宋体"/>
          <w:b w:val="0"/>
          <w:sz w:val="24"/>
        </w:rPr>
        <w:t>业务边界：系统只输出分析、建议与模拟结果，不自动触达真实客户，不执行任何交易或产品申购动作；涉及高风险动作的环节一律要求人工审批。</w:t>
      </w:r>
    </w:p>
    <w:p>
      <w:pPr>
        <w:pStyle w:val="ListBullet"/>
        <w:spacing w:after="60" w:line="336" w:lineRule="auto"/>
      </w:pPr>
      <w:r>
        <w:rPr>
          <w:rFonts w:ascii="Times New Roman" w:hAnsi="Times New Roman" w:eastAsia="宋体"/>
          <w:b w:val="0"/>
          <w:sz w:val="24"/>
        </w:rPr>
        <w:t>合规边界：合规规则、适当性矩阵与审计留痕位于模型之外，模型无法绕过；命中阻断级规则时强制改写或拦截，并把处置结果写入审计记录。</w:t>
      </w:r>
    </w:p>
    <w:p>
      <w:pPr>
        <w:pStyle w:val="ListBullet"/>
        <w:spacing w:after="60" w:line="336" w:lineRule="auto"/>
      </w:pPr>
      <w:r>
        <w:rPr>
          <w:rFonts w:ascii="Times New Roman" w:hAnsi="Times New Roman" w:eastAsia="宋体"/>
          <w:b w:val="0"/>
          <w:sz w:val="24"/>
        </w:rPr>
        <w:t>模型使用：不保存也不展示模型的原始思维链，界面只呈现因素权重、数据证据、规则命中与结构化执行轨迹；模型输出经结构校验后才进入流程。</w:t>
      </w:r>
    </w:p>
    <w:p>
      <w:pPr>
        <w:pStyle w:val="ListBullet"/>
        <w:spacing w:after="60" w:line="336" w:lineRule="auto"/>
      </w:pPr>
      <w:r>
        <w:rPr>
          <w:rFonts w:ascii="Times New Roman" w:hAnsi="Times New Roman" w:eastAsia="宋体"/>
          <w:b w:val="0"/>
          <w:sz w:val="24"/>
        </w:rPr>
        <w:t>学习机制：无审批的在线学习处于关闭状态，人工反馈只用于生成候选技能，不会自动修改引擎参数或策略权重；候选技能须经人工批准后才会被后续任务复用，同名技能版本号递增因而支持回滚到上一版本。</w:t>
      </w:r>
    </w:p>
    <w:p>
      <w:pPr>
        <w:pStyle w:val="ListBullet"/>
        <w:spacing w:after="60" w:line="336" w:lineRule="auto"/>
      </w:pPr>
      <w:r>
        <w:rPr>
          <w:rFonts w:ascii="Times New Roman" w:hAnsi="Times New Roman" w:eastAsia="宋体"/>
          <w:b w:val="0"/>
          <w:sz w:val="24"/>
        </w:rPr>
        <w:t>降级声明：未配置模型密钥或模型调用失败时，系统进入规则模式或确定性降级，并在界面显式标注执行模式，不将规则结果包装为模型结果。</w:t>
      </w:r>
    </w:p>
    <w:p>
      <w:pPr>
        <w:pStyle w:val="ListBullet"/>
        <w:spacing w:after="60" w:line="336" w:lineRule="auto"/>
      </w:pPr>
      <w:r>
        <w:rPr>
          <w:rFonts w:ascii="Times New Roman" w:hAnsi="Times New Roman" w:eastAsia="宋体"/>
          <w:b w:val="0"/>
          <w:sz w:val="24"/>
        </w:rPr>
        <w:t>后续计划：接入官方数据集后，用真实分布校准客户画像与心理参数，并在材料中同步更新指标口径与结论。</w:t>
      </w:r>
    </w:p>
    <w:p>
      <w:pPr>
        <w:spacing w:after="120" w:line="360" w:lineRule="auto"/>
      </w:pPr>
    </w:p>
    <w:p>
      <w:pPr>
        <w:spacing w:before="200"/>
        <w:jc w:val="center"/>
      </w:pPr>
      <w:r>
        <w:rPr>
          <w:rFonts w:ascii="微软雅黑" w:hAnsi="微软雅黑" w:eastAsia="微软雅黑"/>
          <w:b w:val="0"/>
          <w:color w:val="64748B"/>
          <w:sz w:val="21"/>
        </w:rPr>
        <w:t>证券客户行为沙盘 ClientSim Agent · 2026 华泰证券杯南京大学 AI+创新创意大赛初赛材料</w:t>
      </w:r>
    </w:p>
    <w:sectPr w:rsidR="00FC693F" w:rsidRPr="0006063C" w:rsidSect="00034616">
      <w:pgSz w:w="11906" w:h="16838"/>
      <w:pgMar w:top="1474" w:right="1587" w:bottom="1474"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