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证券客户行为沙盘 ClientSim Agent</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课题：通用智能体赋能证券业务——应用场景探索与实践</w:t>
      </w:r>
    </w:p>
    <w:p>
      <w:pPr>
        <w:spacing w:after="120" w:line="360" w:lineRule="auto"/>
        <w:ind w:firstLine="480"/>
      </w:pPr>
      <w:r>
        <w:rPr>
          <w:rFonts w:ascii="Times New Roman" w:hAnsi="Times New Roman" w:eastAsia="宋体"/>
          <w:b w:val="0"/>
          <w:sz w:val="24"/>
        </w:rPr>
        <w:t>本申报书说明我们如何把通用智能体的自主规划与工具调用能力，落到证券客户经营的一个具体环节上：在市场出现较大跌幅时，帮助分支机构在触达客户之前完成一次可量化、可复现、可审计的客户群体行为预演。截至 2026 年 9 月 17 日，项目已完成从业务目标输入到报告输出的纵向闭环，任务在后台异步执行并逐步推送真实进度事件，支持取消、重试与超时降级；20 个标准业务任务的端到端链路完整率与场景抽取一致率均为 100%，但需要说明：在未接入模型密钥时规划走内置模板，因此该指标是确定性流水线的冒烟测试，不代表模型的规划能力，模型的规划能力需接入密钥后由「模型产出被采纳占比」衡量。300 名客户 10 个时间步的确定性数值模拟耗时中位数为 13.5 毫秒；禁止性合规样例召回率 100%、误拦截率 0%，该语料共 32 条、由团队自建，属样本内自检而非独立验证。当前全部使用合成脱敏数据，尚未接入券商真实生产数据，因此我们不宣称任何真实客户行为的预测准确率。</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公司在极端行情下的客户服务面对三个同时出现的约束。第一是时间：行情下跌当天客户情绪上升最快，服务动作必须在数小时内铺开，事后复盘无法挽回已经发生的投诉与流失。第二是一致性：同一套服务策略由不同客户经理执行，话术分寸、触达节奏和风险揭示的完整程度差异很大，越权推荐和承诺收益类表达往往出现在这类高压的临场沟通中。第三是合规：适当性管理要求把合适的产品提供给合适的客户，而当市场波动放大时，最容易出问题的恰恰是向风险承受能力偏低的客户推送高波动产品的动作。</w:t>
      </w:r>
    </w:p>
    <w:p>
      <w:pPr>
        <w:spacing w:after="120" w:line="360" w:lineRule="auto"/>
        <w:ind w:firstLine="480"/>
      </w:pPr>
      <w:r>
        <w:rPr>
          <w:rFonts w:ascii="Times New Roman" w:hAnsi="Times New Roman" w:eastAsia="宋体"/>
          <w:b w:val="0"/>
          <w:sz w:val="24"/>
        </w:rPr>
        <w:t>现有的两类工具都无法同时回应这三重约束。以 ChatGPT 类通用大模型为主体的客服或分析工具，可以生成通顺的策略文本，但既给不出可复现的群体量化结果，也无法保证输出不越过合规红线，同一段提示词在不同时间会得到不同结论。传统的客户画像与标签系统擅长描述客户当前状态，却不能回答一个前瞻性问题：如果我们今天用这套话术去触达这批客户，24 小时后他们的卖出倾向、投诉风险和流失概率会变成什么样。</w:t>
      </w:r>
    </w:p>
    <w:p>
      <w:pPr>
        <w:spacing w:after="120" w:line="360" w:lineRule="auto"/>
        <w:ind w:firstLine="480"/>
      </w:pPr>
      <w:r>
        <w:rPr>
          <w:rFonts w:ascii="Times New Roman" w:hAnsi="Times New Roman" w:eastAsia="宋体"/>
          <w:b w:val="0"/>
          <w:sz w:val="24"/>
        </w:rPr>
        <w:t>我们把这一缺口作为项目切入点。所谓客户行为沙盘，是指在策略真正触达客户之前，先用一群虚拟客户把这条策略跑一遍。虚拟客户不是随机数，而是由真实客户画像聚类生成的原型智能体，各自带有风险偏好、亏损容忍度、从众敏感度、投资纪律、长期耐心和机构信任六项心理参数，并处在三类关系网络之中。策略进入模拟之后，客户会因为恐慌而产生卖出倾向，也会因为邻居的情绪传导而放大恐慌，还会因为机构主动、差异化、合规的沟通而恢复信任。模拟结束后，输出的是分群接受情况、恐慌峰值、投诉风险、流失概率和应当优先人工介入的客户队列。</w:t>
      </w:r>
    </w:p>
    <w:p>
      <w:pPr>
        <w:spacing w:after="120" w:line="360" w:lineRule="auto"/>
        <w:ind w:firstLine="480"/>
      </w:pPr>
      <w:r>
        <w:rPr>
          <w:rFonts w:ascii="Times New Roman" w:hAnsi="Times New Roman" w:eastAsia="宋体"/>
          <w:b w:val="0"/>
          <w:sz w:val="24"/>
        </w:rPr>
        <w:t>这件事的意义在于把客户服务策略的评估节点从触达之后前移到触达之前。券商不需要先向真实客户发出可能有问题的内容，再根据结果补救；而是在沙盘里先看一遍结果，再决定是否发出、发给谁、用什么话术。这与主办方提出的通用智能体方向高度契合：智能体承担的是理解业务目标、自主规划步骤、调用工具、检查合规边界、输出解释的职责，而不是简单地生成一段文字。</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产品名称为证券客户行为沙盘，形态是独立部署的 Web 智能决策平台，可通过 API 或微前端嵌入券商既有的 CRM、客服与投顾工作台。初赛阶段我们只做一个主场景：暴跌行情下的客户群体压力测试。选择单场景是刻意的收缩，目的是先把一条可运行、可解释、可审计的纵向闭环做完整，再考虑横向扩展。产品推荐适当性预演等第二个场景安排在进入决赛之后。</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用户用一句自然语言描述业务诉求，系统按固定闭环完成处理。业务目标输入之后，智能体先理解意图并生成结构化执行计划，随后把自然语言里的业务参数抽取为结构化场景配置，再按客群口径筛出目标客户池、构建行为画像与记忆摘要、构建客户关系网络、生成三套候选沟通策略、执行群体行为模拟、进行合规硬边界审查，最后比较策略并输出报告。全过程以事件流形式实时推送到界面，每一步都落库为审计记录。</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智能任务中心：输入业务目标，实时显示规划步骤、工具调用轨迹、执行概览与关键指标，失败时给出错误码、重试与取消入口。</w:t>
      </w:r>
    </w:p>
    <w:p>
      <w:pPr>
        <w:pStyle w:val="ListBullet"/>
        <w:spacing w:after="60" w:line="336" w:lineRule="auto"/>
      </w:pPr>
      <w:r>
        <w:rPr>
          <w:rFonts w:ascii="Times New Roman" w:hAnsi="Times New Roman" w:eastAsia="宋体"/>
          <w:b w:val="0"/>
          <w:sz w:val="24"/>
        </w:rPr>
        <w:t>客户洞察中心：按模拟期峰值暴露排序的高风险客户队列，配合六维性格雷达、个体动态行为时间轴和一人一策的微观沟通建议。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唤醒成本）、覆盖全部候选策略的合规发现清单、执行审计轨迹（异步任务路径由执行器逐步记录真实时间戳；同步调试路径不记录逐步时间戳，按事件序列留痕），以及任务与模型信息，支持报告导出。</w:t>
      </w:r>
    </w:p>
    <w:p>
      <w:pPr>
        <w:pStyle w:val="ListBullet"/>
        <w:spacing w:after="60" w:line="336" w:lineRule="auto"/>
      </w:pPr>
      <w:r>
        <w:rPr>
          <w:rFonts w:ascii="Times New Roman" w:hAnsi="Times New Roman" w:eastAsia="宋体"/>
          <w:b w:val="0"/>
          <w:sz w:val="24"/>
        </w:rPr>
        <w:t>Skill 与审批：每完成一次任务，系统自动把这一次的做法（提示词、工具步骤、场景参数）与模拟成绩（恐慌峰值、卖出率、流失率、合规命中与耗时）整理成一条候选技能存档；经人工批准后，后续同类任务会直接采用该技能沉淀的编排（计划的来源标记为 skill，与模型产出和内置模板区分），并在审计与事件流中留痕；同名技能版本号递增，因而可以回滚到上一版本。系统不开启无审批的在线学习，模型不会自行修改模拟参数。</w:t>
      </w:r>
    </w:p>
    <w:p>
      <w:pPr>
        <w:spacing w:before="200" w:after="120"/>
      </w:pPr>
      <w:r>
        <w:rPr>
          <w:rFonts w:ascii="微软雅黑" w:hAnsi="微软雅黑" w:eastAsia="微软雅黑"/>
          <w:b/>
          <w:color w:val="1E3A8A"/>
          <w:sz w:val="27"/>
        </w:rPr>
        <w:t>2.4 当前范围</w:t>
      </w:r>
    </w:p>
    <w:p>
      <w:pPr>
        <w:spacing w:after="120" w:line="360" w:lineRule="auto"/>
        <w:ind w:firstLine="480"/>
      </w:pPr>
      <w:r>
        <w:rPr>
          <w:rFonts w:ascii="Times New Roman" w:hAnsi="Times New Roman" w:eastAsia="宋体"/>
          <w:b w:val="0"/>
          <w:sz w:val="24"/>
        </w:rPr>
        <w:t>模拟规模为 50 至 1000 名合成客户、五类客户原型、六项心理因素、三类关系网络、5 至 20 个模拟时间步、三套机构策略与固定随机种子。每个客户输出买入、持有、卖出、咨询、投诉与流失六类行为倾向，其中买入、持有、卖出三者之和恒为 1。群体层输出恐慌峰值、机构信任、传播强度、触达覆盖与干预优先级。</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3.2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before="200" w:after="120"/>
      </w:pPr>
      <w:r>
        <w:rPr>
          <w:rFonts w:ascii="微软雅黑" w:hAnsi="微软雅黑" w:eastAsia="微软雅黑"/>
          <w:b/>
          <w:color w:val="1E3A8A"/>
          <w:sz w:val="27"/>
        </w:rPr>
        <w:t>3.3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3.4 群体行为模拟的关键设计</w:t>
      </w:r>
    </w:p>
    <w:p>
      <w:pPr>
        <w:spacing w:after="120" w:line="360" w:lineRule="auto"/>
        <w:ind w:firstLine="480"/>
      </w:pPr>
      <w:r>
        <w:rPr>
          <w:rFonts w:ascii="Times New Roman" w:hAnsi="Times New Roman" w:eastAsia="宋体"/>
          <w:b w:val="0"/>
          <w:sz w:val="24"/>
        </w:rPr>
        <w:t>客户的心理状态不是静态标签，而是在时间步中演化。恐慌的更新由五项共同决定：上一时间步的恐慌留存、按损失厌恶加权的市场压力、邻居情绪的加权传导、广播式策略带来的额外警觉，以及主动沟通的安抚作用与投资纪律的抑制作用。市场压力随冲击幅度放大，并随时间形状函数变化：持续时间越长，压力衰减越慢、峰值越高。需要如实说明的是：在现有参数下压力随步长单调衰减，压力峰值恒定出现在首个时间步，因此「时长越长峰值越靠后」并不成立，这一点已记录为模型迭代项。</w:t>
      </w:r>
    </w:p>
    <w:p>
      <w:pPr>
        <w:spacing w:after="120" w:line="360" w:lineRule="auto"/>
        <w:ind w:firstLine="480"/>
      </w:pPr>
      <w:r>
        <w:rPr>
          <w:rFonts w:ascii="Times New Roman" w:hAnsi="Times New Roman" w:eastAsia="宋体"/>
          <w:b w:val="0"/>
          <w:sz w:val="24"/>
        </w:rPr>
        <w:t>客户个体的持仓回撤由市场跌幅、持仓弹性与心理参数共同派生，而不是与行情脱钩的独立随机值。持仓弹性由心理参数与产品波动等级按种子确定性生成，因此不同客户在同一场冲击下的受损程度不同，同一个客户在不同场冲击下的受损程度成比例变化。</w:t>
      </w:r>
    </w:p>
    <w:p>
      <w:pPr>
        <w:spacing w:after="120" w:line="360" w:lineRule="auto"/>
        <w:ind w:firstLine="480"/>
      </w:pPr>
      <w:r>
        <w:rPr>
          <w:rFonts w:ascii="Times New Roman" w:hAnsi="Times New Roman" w:eastAsia="宋体"/>
          <w:b w:val="0"/>
          <w:sz w:val="24"/>
        </w:rPr>
        <w:t>目标的客群筛选是真实执行的。以高波动回撤客群为例，只有持有高波动产品、且在 10% 基准冲击下持仓弹性 beta 不低于 0.8（等价于回撤主项不低于 8%，不含客户个体 ±1.5 个百分点的扰动）的客户才会进入目标池；如果候选池中的命中数量不足，系统会按回撤降序补足并在界面与审计中显式标注，同时报告被排除的客户数量。系统也提供全量客户口径作为对照组。</w:t>
      </w:r>
    </w:p>
    <w:p>
      <w:pPr>
        <w:spacing w:after="120" w:line="360" w:lineRule="auto"/>
        <w:ind w:firstLine="480"/>
      </w:pPr>
      <w:r>
        <w:rPr>
          <w:rFonts w:ascii="Times New Roman" w:hAnsi="Times New Roman" w:eastAsia="宋体"/>
          <w:b w:val="0"/>
          <w:sz w:val="24"/>
        </w:rPr>
        <w:t>模拟的可复现性由确定性保证。相同的结构化场景与随机种子必然得到相同的聚合结果，系统会输出聚合签名用于回归比对；客户端在收到服务端结果后会用同版本引擎复算一次，两者的聚合签名一致才判定为确定性校验通过。模型只影响措辞与解释，不影响数值结果。</w:t>
      </w:r>
    </w:p>
    <w:p>
      <w:pPr>
        <w:spacing w:before="200" w:after="120"/>
      </w:pPr>
      <w:r>
        <w:rPr>
          <w:rFonts w:ascii="微软雅黑" w:hAnsi="微软雅黑" w:eastAsia="微软雅黑"/>
          <w:b/>
          <w:color w:val="1E3A8A"/>
          <w:sz w:val="27"/>
        </w:rPr>
        <w:t>3.5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3.6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秒无进展判定为超时。模型超时、格式错误、知识缺失与模拟失败四类异常都有明确的状态与错误码，并且都会给出确定性的降级结果，界面同步展示错误码、重试与取消入口。</w:t>
      </w:r>
    </w:p>
    <w:p>
      <w:pPr>
        <w:spacing w:before="200" w:after="120"/>
      </w:pPr>
      <w:r>
        <w:rPr>
          <w:rFonts w:ascii="微软雅黑" w:hAnsi="微软雅黑" w:eastAsia="微软雅黑"/>
          <w:b/>
          <w:color w:val="1E3A8A"/>
          <w:sz w:val="27"/>
        </w:rPr>
        <w:t>3.7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完成情况</w:t>
      </w:r>
    </w:p>
    <w:p>
      <w:pPr>
        <w:spacing w:after="120" w:line="360" w:lineRule="auto"/>
        <w:ind w:firstLine="480"/>
      </w:pPr>
      <w:r>
        <w:rPr>
          <w:rFonts w:ascii="Times New Roman" w:hAnsi="Times New Roman" w:eastAsia="宋体"/>
          <w:b w:val="0"/>
          <w:sz w:val="24"/>
        </w:rPr>
        <w:t>项目当前已完成四个核心页面、确定性客户生成、三套锚点策略与参数空间搜索、三类关系网络传播、合规发现、审计轨迹、报告导出与完整的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69 项用例覆盖确定性、参数敏感性、分群筛选、行为概率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4.2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13.5 毫秒（中位）</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71.5 毫秒（中位）</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452 毫秒</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1 验收指标对照（版本 v0.2.0，规则版本 compliance-rules@2026.09，种子 20260830）</w:t>
      </w:r>
    </w:p>
    <w:p>
      <w:pPr>
        <w:spacing w:before="200" w:after="120"/>
      </w:pPr>
      <w:r>
        <w:rPr>
          <w:rFonts w:ascii="微软雅黑" w:hAnsi="微软雅黑" w:eastAsia="微软雅黑"/>
          <w:b/>
          <w:color w:val="1E3A8A"/>
          <w:sz w:val="27"/>
        </w:rPr>
        <w:t>4.3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4.4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2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持续时间的处理方式是把总时长映射为每步粒度，并让冲击的持续性随总时长变化。24 小时、48 小时与 72 小时对应每步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4.5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3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4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5 三档冲击下的实测对照（时长 24 小时、步数 10、种子 20260830）</w:t>
      </w:r>
    </w:p>
    <w:p>
      <w:pPr>
        <w:spacing w:after="120" w:line="360" w:lineRule="auto"/>
        <w:ind w:firstLine="480"/>
      </w:pPr>
      <w:r>
        <w:rPr>
          <w:rFonts w:ascii="Times New Roman" w:hAnsi="Times New Roman" w:eastAsia="宋体"/>
          <w:b w:val="0"/>
          <w:sz w:val="24"/>
        </w:rPr>
        <w:t>这张表本身就是一条如实说明：在 5% 与 20% 档，单智能体与本方案的一致率是 100%，但那只是「两者都选择不干预」的必然结果，与能力无关；在 50% 档，文本类模式与本方案的一致率仍有 66.7%，说明单凭文本线索在这一档也能接近答案。因此本方案的价值不能由这张一致率表单独支撑，而应由个体级峰值暴露与可执行的干预队列来支撑。</w:t>
      </w:r>
    </w:p>
    <w:p>
      <w:pPr>
        <w:spacing w:before="200" w:after="120"/>
      </w:pPr>
      <w:r>
        <w:rPr>
          <w:rFonts w:ascii="微软雅黑" w:hAnsi="微软雅黑" w:eastAsia="微软雅黑"/>
          <w:b/>
          <w:color w:val="1E3A8A"/>
          <w:sz w:val="27"/>
        </w:rPr>
        <w:t>4.6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的是：这批语料与规则由同一团队在同一轮工作中产出，属于样本内自检，不构成独立验证；样本量也偏小，正式对外引用前需补充由其他成员独立标注的盲样本集重做混淆矩阵。</w:t>
      </w:r>
    </w:p>
    <w:p>
      <w:pPr>
        <w:spacing w:before="200" w:after="120"/>
      </w:pPr>
      <w:r>
        <w:rPr>
          <w:rFonts w:ascii="微软雅黑" w:hAnsi="微软雅黑" w:eastAsia="微软雅黑"/>
          <w:b/>
          <w:color w:val="1E3A8A"/>
          <w:sz w:val="27"/>
        </w:rPr>
        <w:t>4.7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4408560"/>
            <wp:docPr id="4" name="Picture 4"/>
            <wp:cNvGraphicFramePr>
              <a:graphicFrameLocks noChangeAspect="1"/>
            </wp:cNvGraphicFramePr>
            <a:graphic>
              <a:graphicData uri="http://schemas.openxmlformats.org/drawingml/2006/picture">
                <pic:pic>
                  <pic:nvPicPr>
                    <pic:cNvPr id="0" name="01-智能任务中心.png"/>
                    <pic:cNvPicPr/>
                  </pic:nvPicPr>
                  <pic:blipFill>
                    <a:blip r:embed="rId12"/>
                    <a:stretch>
                      <a:fillRect/>
                    </a:stretch>
                  </pic:blipFill>
                  <pic:spPr>
                    <a:xfrm>
                      <a:off x="0" y="0"/>
                      <a:ext cx="5616000" cy="4408560"/>
                    </a:xfrm>
                    <a:prstGeom prst="rect"/>
                  </pic:spPr>
                </pic:pic>
              </a:graphicData>
            </a:graphic>
          </wp:inline>
        </w:drawing>
      </w:r>
    </w:p>
    <w:p>
      <w:pPr>
        <w:spacing w:after="240"/>
        <w:jc w:val="center"/>
      </w:pPr>
      <w:r>
        <w:rPr>
          <w:rFonts w:ascii="微软雅黑" w:hAnsi="微软雅黑" w:eastAsia="微软雅黑"/>
          <w:b w:val="0"/>
          <w:color w:val="475569"/>
          <w:sz w:val="21"/>
        </w:rPr>
        <w:t>图 4 智能任务中心：规划步骤、工具轨迹与执行概览</w:t>
      </w:r>
    </w:p>
    <w:p>
      <w:pPr>
        <w:spacing w:before="160" w:after="40"/>
        <w:jc w:val="center"/>
      </w:pPr>
      <w:r>
        <w:drawing>
          <wp:inline xmlns:a="http://schemas.openxmlformats.org/drawingml/2006/main" xmlns:pic="http://schemas.openxmlformats.org/drawingml/2006/picture">
            <wp:extent cx="5415141" cy="6840000"/>
            <wp:docPr id="5" name="Picture 5"/>
            <wp:cNvGraphicFramePr>
              <a:graphicFrameLocks noChangeAspect="1"/>
            </wp:cNvGraphicFramePr>
            <a:graphic>
              <a:graphicData uri="http://schemas.openxmlformats.org/drawingml/2006/picture">
                <pic:pic>
                  <pic:nvPicPr>
                    <pic:cNvPr id="0" name="02-客户洞察中心.png"/>
                    <pic:cNvPicPr/>
                  </pic:nvPicPr>
                  <pic:blipFill>
                    <a:blip r:embed="rId13"/>
                    <a:stretch>
                      <a:fillRect/>
                    </a:stretch>
                  </pic:blipFill>
                  <pic:spPr>
                    <a:xfrm>
                      <a:off x="0" y="0"/>
                      <a:ext cx="5415141" cy="6840000"/>
                    </a:xfrm>
                    <a:prstGeom prst="rect"/>
                  </pic:spPr>
                </pic:pic>
              </a:graphicData>
            </a:graphic>
          </wp:inline>
        </w:drawing>
      </w:r>
    </w:p>
    <w:p>
      <w:pPr>
        <w:spacing w:after="240"/>
        <w:jc w:val="center"/>
      </w:pPr>
      <w:r>
        <w:rPr>
          <w:rFonts w:ascii="微软雅黑" w:hAnsi="微软雅黑" w:eastAsia="微软雅黑"/>
          <w:b w:val="0"/>
          <w:color w:val="475569"/>
          <w:sz w:val="21"/>
        </w:rPr>
        <w:t>图 5 客户洞察中心：按模拟期峰值暴露排序的干预队列与一人一策建议</w:t>
      </w:r>
    </w:p>
    <w:p>
      <w:pPr>
        <w:spacing w:before="160" w:after="40"/>
        <w:jc w:val="center"/>
      </w:pPr>
      <w:r>
        <w:drawing>
          <wp:inline xmlns:a="http://schemas.openxmlformats.org/drawingml/2006/main" xmlns:pic="http://schemas.openxmlformats.org/drawingml/2006/picture">
            <wp:extent cx="4836058" cy="6840000"/>
            <wp:docPr id="6" name="Picture 6"/>
            <wp:cNvGraphicFramePr>
              <a:graphicFrameLocks noChangeAspect="1"/>
            </wp:cNvGraphicFramePr>
            <a:graphic>
              <a:graphicData uri="http://schemas.openxmlformats.org/drawingml/2006/picture">
                <pic:pic>
                  <pic:nvPicPr>
                    <pic:cNvPr id="0" name="03-群体行为沙盘.png"/>
                    <pic:cNvPicPr/>
                  </pic:nvPicPr>
                  <pic:blipFill>
                    <a:blip r:embed="rId14"/>
                    <a:stretch>
                      <a:fillRect/>
                    </a:stretch>
                  </pic:blipFill>
                  <pic:spPr>
                    <a:xfrm>
                      <a:off x="0" y="0"/>
                      <a:ext cx="4836058" cy="6840000"/>
                    </a:xfrm>
                    <a:prstGeom prst="rect"/>
                  </pic:spPr>
                </pic:pic>
              </a:graphicData>
            </a:graphic>
          </wp:inline>
        </w:drawing>
      </w:r>
    </w:p>
    <w:p>
      <w:pPr>
        <w:spacing w:after="240"/>
        <w:jc w:val="center"/>
      </w:pPr>
      <w:r>
        <w:rPr>
          <w:rFonts w:ascii="微软雅黑" w:hAnsi="微软雅黑" w:eastAsia="微软雅黑"/>
          <w:b w:val="0"/>
          <w:color w:val="475569"/>
          <w:sz w:val="21"/>
        </w:rPr>
        <w:t>图 6 群体行为沙盘：三套策略对比与分群传播网络回放</w:t>
      </w:r>
    </w:p>
    <w:p>
      <w:pPr>
        <w:spacing w:before="160" w:after="40"/>
        <w:jc w:val="center"/>
      </w:pPr>
      <w:r>
        <w:drawing>
          <wp:inline xmlns:a="http://schemas.openxmlformats.org/drawingml/2006/main" xmlns:pic="http://schemas.openxmlformats.org/drawingml/2006/picture">
            <wp:extent cx="4983606" cy="6839999"/>
            <wp:docPr id="7" name="Picture 7"/>
            <wp:cNvGraphicFramePr>
              <a:graphicFrameLocks noChangeAspect="1"/>
            </wp:cNvGraphicFramePr>
            <a:graphic>
              <a:graphicData uri="http://schemas.openxmlformats.org/drawingml/2006/picture">
                <pic:pic>
                  <pic:nvPicPr>
                    <pic:cNvPr id="0" name="04-策略与审计.png"/>
                    <pic:cNvPicPr/>
                  </pic:nvPicPr>
                  <pic:blipFill>
                    <a:blip r:embed="rId15"/>
                    <a:stretch>
                      <a:fillRect/>
                    </a:stretch>
                  </pic:blipFill>
                  <pic:spPr>
                    <a:xfrm>
                      <a:off x="0" y="0"/>
                      <a:ext cx="4983606" cy="6839999"/>
                    </a:xfrm>
                    <a:prstGeom prst="rect"/>
                  </pic:spPr>
                </pic:pic>
              </a:graphicData>
            </a:graphic>
          </wp:inline>
        </w:drawing>
      </w:r>
    </w:p>
    <w:p>
      <w:pPr>
        <w:spacing w:after="240"/>
        <w:jc w:val="center"/>
      </w:pPr>
      <w:r>
        <w:rPr>
          <w:rFonts w:ascii="微软雅黑" w:hAnsi="微软雅黑" w:eastAsia="微软雅黑"/>
          <w:b w:val="0"/>
          <w:color w:val="475569"/>
          <w:sz w:val="21"/>
        </w:rPr>
        <w:t>图 7 策略与审计：合规发现清单与执行审计轨迹</w:t>
      </w:r>
    </w:p>
    <w:p>
      <w:pPr>
        <w:spacing w:before="160" w:after="40"/>
        <w:jc w:val="center"/>
      </w:pPr>
      <w:r>
        <w:drawing>
          <wp:inline xmlns:a="http://schemas.openxmlformats.org/drawingml/2006/main" xmlns:pic="http://schemas.openxmlformats.org/drawingml/2006/picture">
            <wp:extent cx="5616000" cy="6142500"/>
            <wp:docPr id="8" name="Picture 8"/>
            <wp:cNvGraphicFramePr>
              <a:graphicFrameLocks noChangeAspect="1"/>
            </wp:cNvGraphicFramePr>
            <a:graphic>
              <a:graphicData uri="http://schemas.openxmlformats.org/drawingml/2006/picture">
                <pic:pic>
                  <pic:nvPicPr>
                    <pic:cNvPr id="0" name="05-Skill与审批.png"/>
                    <pic:cNvPicPr/>
                  </pic:nvPicPr>
                  <pic:blipFill>
                    <a:blip r:embed="rId16"/>
                    <a:stretch>
                      <a:fillRect/>
                    </a:stretch>
                  </pic:blipFill>
                  <pic:spPr>
                    <a:xfrm>
                      <a:off x="0" y="0"/>
                      <a:ext cx="5616000" cy="6142500"/>
                    </a:xfrm>
                    <a:prstGeom prst="rect"/>
                  </pic:spPr>
                </pic:pic>
              </a:graphicData>
            </a:graphic>
          </wp:inline>
        </w:drawing>
      </w:r>
    </w:p>
    <w:p>
      <w:pPr>
        <w:spacing w:after="240"/>
        <w:jc w:val="center"/>
      </w:pPr>
      <w:r>
        <w:rPr>
          <w:rFonts w:ascii="微软雅黑" w:hAnsi="微软雅黑" w:eastAsia="微软雅黑"/>
          <w:b w:val="0"/>
          <w:color w:val="475569"/>
          <w:sz w:val="21"/>
        </w:rPr>
        <w:t>图 8 Skill 与审批：候选技能、指标快照与人工审批记录</w:t>
      </w:r>
    </w:p>
    <w:p>
      <w:pPr>
        <w:spacing w:before="320" w:after="160"/>
      </w:pPr>
      <w:r>
        <w:rPr>
          <w:rFonts w:ascii="微软雅黑" w:hAnsi="微软雅黑" w:eastAsia="微软雅黑"/>
          <w:b/>
          <w:color w:val="0F172A"/>
          <w:sz w:val="32"/>
        </w:rPr>
        <w:t>五、创新点</w:t>
      </w:r>
    </w:p>
    <w:p>
      <w:pPr>
        <w:spacing w:before="200" w:after="120"/>
      </w:pPr>
      <w:r>
        <w:rPr>
          <w:rFonts w:ascii="微软雅黑" w:hAnsi="微软雅黑" w:eastAsia="微软雅黑"/>
          <w:b/>
          <w:color w:val="1E3A8A"/>
          <w:sz w:val="27"/>
        </w:rPr>
        <w:t>5.1 把市场参与者博弈迁移为客户群体行为模拟</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before="200" w:after="120"/>
      </w:pPr>
      <w:r>
        <w:rPr>
          <w:rFonts w:ascii="微软雅黑" w:hAnsi="微软雅黑" w:eastAsia="微软雅黑"/>
          <w:b/>
          <w:color w:val="1E3A8A"/>
          <w:sz w:val="27"/>
        </w:rPr>
        <w:t>5.2 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5.3 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5.4 以峰值暴露而非期末状态定义干预优先级</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before="200" w:after="120"/>
      </w:pPr>
      <w:r>
        <w:rPr>
          <w:rFonts w:ascii="微软雅黑" w:hAnsi="微软雅黑" w:eastAsia="微软雅黑"/>
          <w:b/>
          <w:color w:val="1E3A8A"/>
          <w:sz w:val="27"/>
        </w:rPr>
        <w:t>5.5 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200" w:after="120"/>
      </w:pPr>
      <w:r>
        <w:rPr>
          <w:rFonts w:ascii="微软雅黑" w:hAnsi="微软雅黑" w:eastAsia="微软雅黑"/>
          <w:b/>
          <w:color w:val="1E3A8A"/>
          <w:sz w:val="27"/>
        </w:rPr>
        <w:t>5.6 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D1，与官方提供的数据集接口无需引入额外中间件。数值模拟的计算量很小：1000 名客户 20 个时间步的完整模拟中位耗时为 71.5 毫秒，300 名客户 10 个时间步为 13.5 毫秒，同规模重复采样的波动区间分别为 59.5 至 74.7 毫秒与 10.4 至 26.2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360 至 450 毫秒，端到端在 0.5 秒以内。模型超时、格式错误、知识缺失与模拟失败四类异常都有降级路径，不会导致任务静默失败。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证券客户行为沙盘 ClientSim Agent ·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