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F6E"/>
          <w:sz w:val="48"/>
        </w:rPr>
        <w:t>Structured Predictive Search Architecture</w:t>
        <w:br/>
      </w:r>
      <w:r>
        <w:rPr>
          <w:color w:val="5A5A5A"/>
          <w:sz w:val="24"/>
        </w:rPr>
        <w:t>Publication-ready architecture documentation for academic, engineering, product, and open-source audiences</w:t>
      </w:r>
    </w:p>
    <w:p/>
    <w:p>
      <w:pPr>
        <w:pStyle w:val="Callout"/>
        <w:shd w:fill="F7FAFF"/>
        <w:pBdr>
          <w:top w:val="single" w:sz="6" w:space="8" w:color="BFD0EA"/>
          <w:left w:val="single" w:sz="6" w:space="8" w:color="BFD0EA"/>
          <w:bottom w:val="single" w:sz="6" w:space="8" w:color="BFD0EA"/>
          <w:right w:val="single" w:sz="6" w:space="8" w:color="BFD0EA"/>
        </w:pBdr>
      </w:pPr>
      <w:r>
        <w:rPr>
          <w:b/>
        </w:rPr>
        <w:t xml:space="preserve">Document purpose. </w:t>
      </w:r>
      <w:r>
        <w:t>This document consolidates the finalized 21-layer architecture, implementation guidance, evaluation plan, diagrammatic overview, and audience-specific framing into a single precise technical narrative. It is written so the same core design can be read by reviewers, systems engineers, product stakeholders, and open-source contributors without losing rigor.</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DCE6F1"/>
            <w:vAlign w:val="center"/>
          </w:tcPr>
          <w:p>
            <w:pPr>
              <w:jc w:val="center"/>
            </w:pPr>
            <w:r>
              <w:rPr>
                <w:b/>
                <w:sz w:val="18"/>
              </w:rPr>
              <w:t>Field</w:t>
            </w:r>
          </w:p>
        </w:tc>
        <w:tc>
          <w:tcPr>
            <w:tcW w:type="dxa" w:w="6690"/>
            <w:shd w:fill="DCE6F1"/>
            <w:vAlign w:val="center"/>
          </w:tcPr>
          <w:p>
            <w:pPr>
              <w:jc w:val="center"/>
            </w:pPr>
            <w:r>
              <w:rPr>
                <w:b/>
                <w:sz w:val="18"/>
              </w:rPr>
              <w:t>Value</w:t>
            </w:r>
          </w:p>
        </w:tc>
      </w:tr>
      <w:tr>
        <w:tc>
          <w:tcPr>
            <w:tcW w:type="dxa" w:w="2381"/>
            <w:vAlign w:val="center"/>
          </w:tcPr>
          <w:p>
            <w:pPr>
              <w:spacing w:after="40" w:line="259" w:lineRule="auto"/>
            </w:pPr>
            <w:r>
              <w:rPr>
                <w:sz w:val="18"/>
              </w:rPr>
              <w:t>Architecture class</w:t>
            </w:r>
          </w:p>
        </w:tc>
        <w:tc>
          <w:tcPr>
            <w:tcW w:type="dxa" w:w="6690"/>
            <w:vAlign w:val="center"/>
          </w:tcPr>
          <w:p>
            <w:pPr>
              <w:spacing w:after="40" w:line="259" w:lineRule="auto"/>
            </w:pPr>
            <w:r>
              <w:rPr>
                <w:sz w:val="18"/>
              </w:rPr>
              <w:t>Tokenizer-free, CPU-friendly personal intelligence architecture</w:t>
            </w:r>
          </w:p>
        </w:tc>
      </w:tr>
      <w:tr>
        <w:tc>
          <w:tcPr>
            <w:tcW w:type="dxa" w:w="2381"/>
            <w:vAlign w:val="center"/>
          </w:tcPr>
          <w:p>
            <w:pPr>
              <w:spacing w:after="40" w:line="259" w:lineRule="auto"/>
            </w:pPr>
            <w:r>
              <w:rPr>
                <w:sz w:val="18"/>
              </w:rPr>
              <w:t>Core mechanism</w:t>
            </w:r>
          </w:p>
        </w:tc>
        <w:tc>
          <w:tcPr>
            <w:tcW w:type="dxa" w:w="6690"/>
            <w:vAlign w:val="center"/>
          </w:tcPr>
          <w:p>
            <w:pPr>
              <w:spacing w:after="40" w:line="259" w:lineRule="auto"/>
            </w:pPr>
            <w:r>
              <w:rPr>
                <w:sz w:val="18"/>
              </w:rPr>
              <w:t>Dynamic unit discovery + 3D semantic routing + local candidate search + optional web retrieval</w:t>
            </w:r>
          </w:p>
        </w:tc>
      </w:tr>
      <w:tr>
        <w:tc>
          <w:tcPr>
            <w:tcW w:type="dxa" w:w="2381"/>
            <w:vAlign w:val="center"/>
          </w:tcPr>
          <w:p>
            <w:pPr>
              <w:spacing w:after="40" w:line="259" w:lineRule="auto"/>
            </w:pPr>
            <w:r>
              <w:rPr>
                <w:sz w:val="18"/>
              </w:rPr>
              <w:t>Knowledge model</w:t>
            </w:r>
          </w:p>
        </w:tc>
        <w:tc>
          <w:tcPr>
            <w:tcW w:type="dxa" w:w="6690"/>
            <w:vAlign w:val="center"/>
          </w:tcPr>
          <w:p>
            <w:pPr>
              <w:spacing w:after="40" w:line="259" w:lineRule="auto"/>
            </w:pPr>
            <w:r>
              <w:rPr>
                <w:sz w:val="18"/>
              </w:rPr>
              <w:t>Dual memory stores with trust-aware ingestion and anchored sequence memory</w:t>
            </w:r>
          </w:p>
        </w:tc>
      </w:tr>
      <w:tr>
        <w:tc>
          <w:tcPr>
            <w:tcW w:type="dxa" w:w="2381"/>
            <w:vAlign w:val="center"/>
          </w:tcPr>
          <w:p>
            <w:pPr>
              <w:spacing w:after="40" w:line="259" w:lineRule="auto"/>
            </w:pPr>
            <w:r>
              <w:rPr>
                <w:sz w:val="18"/>
              </w:rPr>
              <w:t>Primary deployment target</w:t>
            </w:r>
          </w:p>
        </w:tc>
        <w:tc>
          <w:tcPr>
            <w:tcW w:type="dxa" w:w="6690"/>
            <w:vAlign w:val="center"/>
          </w:tcPr>
          <w:p>
            <w:pPr>
              <w:spacing w:after="40" w:line="259" w:lineRule="auto"/>
            </w:pPr>
            <w:r>
              <w:rPr>
                <w:sz w:val="18"/>
              </w:rPr>
              <w:t>Edge / CPU-constrained systems with lifelong adaptation</w:t>
            </w:r>
          </w:p>
        </w:tc>
      </w:tr>
      <w:tr>
        <w:tc>
          <w:tcPr>
            <w:tcW w:type="dxa" w:w="2381"/>
            <w:vAlign w:val="center"/>
          </w:tcPr>
          <w:p>
            <w:pPr>
              <w:spacing w:after="40" w:line="259" w:lineRule="auto"/>
            </w:pPr>
            <w:r>
              <w:rPr>
                <w:sz w:val="18"/>
              </w:rPr>
              <w:t>Revision status</w:t>
            </w:r>
          </w:p>
        </w:tc>
        <w:tc>
          <w:tcPr>
            <w:tcW w:type="dxa" w:w="6690"/>
            <w:vAlign w:val="center"/>
          </w:tcPr>
          <w:p>
            <w:r>
              <w:t>Codebase-aligned architecture documentation (updated 2026-03-13)</w:t>
            </w:r>
          </w:p>
        </w:tc>
      </w:tr>
      <w:tr>
        <w:tc>
          <w:tcPr>
            <w:tcW w:type="dxa" w:w="4986"/>
          </w:tcPr>
          <w:p>
            <w:r>
              <w:t>Alignment basis</w:t>
            </w:r>
          </w:p>
        </w:tc>
        <w:tc>
          <w:tcPr>
            <w:tcW w:type="dxa" w:w="4986"/>
          </w:tcPr>
          <w:p>
            <w:r>
              <w:t>Repository state at /Volumes/SSD/Github/spse_engine on 2026-03-13</w:t>
            </w:r>
          </w:p>
        </w:tc>
      </w:tr>
    </w:tbl>
    <w:p/>
    <w:p>
      <w:r>
        <w:br w:type="page"/>
      </w:r>
    </w:p>
    <w:p>
      <w:pPr>
        <w:pStyle w:val="Heading1"/>
      </w:pPr>
      <w:r>
        <w:t>Abstract</w:t>
      </w:r>
    </w:p>
    <w:p>
      <w:r>
        <w:t>We present a tokenizer-free, CPU-friendly architecture for personal intelligence that replaces static tokenization with dynamic unit discovery, routes semantic information through a regularized 3D coarse map, and maintains structured context via salience-weighted matrices and anchored sequence memory. The system optionally retrieves and validates external web evidence through a gated search pipeline, resolving predictions via adaptive local candidate search rather than global softmax. Designed for edge deployment and lifelong learning, the architecture incorporates dual memory stores, trust-aware ingestion, and layer-specific feedback to balance stability, efficiency, and adaptability. We provide a complete 21-layer specification with mitigation strategies for key risks including semantic drift, catastrophic forgetting, search latency, and memory fragmentation.</w:t>
      </w:r>
    </w:p>
    <w:p>
      <w:pPr>
        <w:pStyle w:val="Small"/>
      </w:pPr>
      <w:r>
        <w:t>Publication note. Layer 2 is described as inspired by byte-level BPE (Sennrich et al., 2016) but dynamically pruned, which preserves the tokenizer-free claim in the qualified sense that no fixed production token vocabulary or immutable token boundaries are assumed at runtime. Layer 5 uses energy minimization via force-directed layout rather than backpropagation, with spatial corrections applied through Layer 18 using prediction-error statistics, co-activation counts, and routing-stability signals. Layer 9 can be formalized as a gated decision rule over entropy, recency, disagreement, and cost, with a reproducibility example such as: trigger external retrieval if H(q) &gt; τ1 or R(q) &gt; τ2, then modulate that decision by a retrieval-cost penalty and a confidence-consensus check. Layer 14 reports complexity as O(k·d), where k is the pruned post-routing candidate set and d is the number of scoring dimensions. The engineering challenges table includes validation metrics to support empirical evaluation. In this document, tokenizer-free therefore means no fixed immutable token boundaries at runtime, not the absence of any seeded bootstrap units.</w:t>
      </w:r>
    </w:p>
    <w:p>
      <w:pPr>
        <w:pStyle w:val="Heading1"/>
      </w:pPr>
      <w:r>
        <w:t>Executive Summary</w:t>
      </w:r>
    </w:p>
    <w:p>
      <w:r>
        <w:t>The architecture is designed as a structured predictive search system for personal intelligence. Instead of relying mainly on large dense global weights and fixed tokenizer boundaries, it learns reusable language units directly from raw text, places them within an evolving semantic routing map, keeps a compact but anchored memory of recent and important context, and performs local candidate resolution to predict the most appropriate next unit or answer.</w:t>
      </w:r>
    </w:p>
    <w:p>
      <w:pPr>
        <w:pStyle w:val="ListBullet"/>
      </w:pPr>
      <w:r>
        <w:t>Dynamic unit discovery replaces fixed tokenization and allows adaptation to user language, domains, and emergent terms.</w:t>
      </w:r>
    </w:p>
    <w:p>
      <w:pPr>
        <w:pStyle w:val="ListBullet"/>
      </w:pPr>
      <w:r>
        <w:t>A regularized hierarchical 3D semantic map supports CPU-friendly routing by narrowing search before fine resolution.</w:t>
      </w:r>
    </w:p>
    <w:p>
      <w:pPr>
        <w:pStyle w:val="ListBullet"/>
      </w:pPr>
      <w:r>
        <w:t>Context is modeled through a salience-weighted context matrix plus sequence state with anchor memory for long-range continuity.</w:t>
      </w:r>
    </w:p>
    <w:p>
      <w:pPr>
        <w:pStyle w:val="ListBullet"/>
      </w:pPr>
      <w:r>
        <w:t>A search gate selectively retrieves external evidence when internal uncertainty, disagreement, or staleness suggest that retrieval is useful.</w:t>
      </w:r>
    </w:p>
    <w:p>
      <w:pPr>
        <w:pStyle w:val="ListBullet"/>
      </w:pPr>
      <w:r>
        <w:t>Trust-aware ingestion and evidence merge logic prevent noisy or malicious web content from immediately contaminating durable memory.</w:t>
      </w:r>
    </w:p>
    <w:p>
      <w:pPr>
        <w:pStyle w:val="ListBullet"/>
      </w:pPr>
      <w:r>
        <w:t>Layer-specific feedback and memory governance enable lifelong learning without uncontrolled memory growth.</w:t>
      </w:r>
    </w:p>
    <w:p>
      <w:pPr>
        <w:pStyle w:val="Heading2"/>
      </w:pPr>
      <w:r>
        <w:t>How to Read This Document</w:t>
      </w:r>
    </w:p>
    <w:p>
      <w:pPr>
        <w:pStyle w:val="ListBullet"/>
      </w:pPr>
      <w:r>
        <w:t>Academic reviewers should focus on the architecture overview, novelty framing, methodological clarifications, engineering challenges, evaluation plan, and complexity notes.</w:t>
      </w:r>
    </w:p>
    <w:p>
      <w:pPr>
        <w:pStyle w:val="ListBullet"/>
      </w:pPr>
      <w:r>
        <w:t>Engineering teams should focus on the layer-by-layer specification, runtime and training flow, modular interfaces, performance assumptions, and background maintenance mechanisms.</w:t>
      </w:r>
    </w:p>
    <w:p>
      <w:pPr>
        <w:pStyle w:val="ListBullet"/>
      </w:pPr>
      <w:r>
        <w:t>Product stakeholders should focus on the executive summary, risk controls, privacy and offline capability notes, and the section on user-facing benefits.</w:t>
      </w:r>
    </w:p>
    <w:p>
      <w:pPr>
        <w:pStyle w:val="ListBullet"/>
      </w:pPr>
      <w:r>
        <w:t>Open-source contributors should focus on modular decomposition, extension points, MVP sequencing, and implementation guidance.</w:t>
      </w:r>
    </w:p>
    <w:p>
      <w:pPr>
        <w:pStyle w:val="Heading1"/>
      </w:pPr>
      <w:r>
        <w:t>System Diagram</w:t>
      </w:r>
    </w:p>
    <w:p>
      <w:r>
        <w:t>The figure below condenses the complete architecture into a single operational view. Blue elements are CPU-efficient core components, yellow elements are search-dependent modules, green elements are safety, validation, and memory governance modules, and dashed paths denote asynchronous or background processes.</w:t>
      </w:r>
    </w:p>
    <w:p>
      <w:r>
        <w:drawing>
          <wp:inline xmlns:a="http://schemas.openxmlformats.org/drawingml/2006/main" xmlns:pic="http://schemas.openxmlformats.org/drawingml/2006/picture">
            <wp:extent cx="6309360" cy="385572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309360" cy="3855720"/>
                    </a:xfrm>
                    <a:prstGeom prst="rect"/>
                  </pic:spPr>
                </pic:pic>
              </a:graphicData>
            </a:graphic>
          </wp:inline>
        </w:drawing>
      </w:r>
    </w:p>
    <w:p>
      <w:pPr>
        <w:pStyle w:val="Small"/>
        <w:jc w:val="center"/>
      </w:pPr>
      <w:r>
        <w:rPr>
          <w:b/>
        </w:rPr>
        <w:t xml:space="preserve">Figure 1. </w:t>
      </w:r>
      <w:r>
        <w:t>Structured Predictive Search Architecture: end-to-end flow from raw input to output decoding, with optional web retrieval, evidence merge, feedback, and memory consolidation.</w:t>
      </w:r>
    </w:p>
    <w:p>
      <w:pPr>
        <w:pStyle w:val="Heading1"/>
      </w:pPr>
      <w:r>
        <w:t>Conceptual Foundations</w:t>
      </w:r>
    </w:p>
    <w:p>
      <w:r>
        <w:t>The architecture is built around a single design thesis: personal intelligence can be implemented as structured predictive search rather than as pure dense sequence transformation. In this formulation, language understanding and generation emerge from the interaction of five major subsystems: (1) dynamic unit formation, (2) coarse semantic routing, (3) active context and anchored state, (4) adaptive candidate scoring and local resolution, and (5) optional retrieval and trust-aware evidence integration.</w:t>
      </w:r>
    </w:p>
    <w:p>
      <w:pPr>
        <w:pStyle w:val="ListBullet"/>
      </w:pPr>
      <w:r>
        <w:t>Tokenizer-free learning avoids freezing the representational boundary of language in advance.</w:t>
      </w:r>
    </w:p>
    <w:p>
      <w:pPr>
        <w:pStyle w:val="ListBullet"/>
      </w:pPr>
      <w:r>
        <w:t>Coarse semantic routing reduces search space before expensive fine selection.</w:t>
      </w:r>
    </w:p>
    <w:p>
      <w:pPr>
        <w:pStyle w:val="ListBullet"/>
      </w:pPr>
      <w:r>
        <w:t>Anchored memory protects important long-range facts that would otherwise be erased by aggressive compression.</w:t>
      </w:r>
    </w:p>
    <w:p>
      <w:pPr>
        <w:pStyle w:val="ListBullet"/>
      </w:pPr>
      <w:r>
        <w:t>Search is gated, not defaulted, allowing the system to stay fast and private when internal evidence is sufficient.</w:t>
      </w:r>
    </w:p>
    <w:p>
      <w:pPr>
        <w:pStyle w:val="ListBullet"/>
      </w:pPr>
      <w:r>
        <w:t>Memory is dual-track: stable knowledge consolidates slowly, while session and web-derived details remain episodic until validated.</w:t>
      </w:r>
    </w:p>
    <w:p>
      <w:pPr>
        <w:pStyle w:val="Heading1"/>
      </w:pPr>
      <w:r>
        <w:t>Complete 21-Layer Architecture Specification</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454"/>
            <w:shd w:fill="DCE6F1"/>
            <w:vAlign w:val="center"/>
          </w:tcPr>
          <w:p>
            <w:pPr>
              <w:jc w:val="center"/>
            </w:pPr>
            <w:r>
              <w:rPr>
                <w:b/>
                <w:sz w:val="16"/>
              </w:rPr>
              <w:t>#</w:t>
            </w:r>
          </w:p>
        </w:tc>
        <w:tc>
          <w:tcPr>
            <w:tcW w:type="dxa" w:w="2154"/>
            <w:shd w:fill="DCE6F1"/>
            <w:vAlign w:val="center"/>
          </w:tcPr>
          <w:p>
            <w:pPr>
              <w:jc w:val="center"/>
            </w:pPr>
            <w:r>
              <w:rPr>
                <w:b/>
                <w:sz w:val="16"/>
              </w:rPr>
              <w:t>Layer / Component</w:t>
            </w:r>
          </w:p>
        </w:tc>
        <w:tc>
          <w:tcPr>
            <w:tcW w:type="dxa" w:w="2268"/>
            <w:shd w:fill="DCE6F1"/>
            <w:vAlign w:val="center"/>
          </w:tcPr>
          <w:p>
            <w:pPr>
              <w:jc w:val="center"/>
            </w:pPr>
            <w:r>
              <w:rPr>
                <w:b/>
                <w:sz w:val="16"/>
              </w:rPr>
              <w:t>Function</w:t>
            </w:r>
          </w:p>
        </w:tc>
        <w:tc>
          <w:tcPr>
            <w:tcW w:type="dxa" w:w="2154"/>
            <w:shd w:fill="DCE6F1"/>
            <w:vAlign w:val="center"/>
          </w:tcPr>
          <w:p>
            <w:pPr>
              <w:jc w:val="center"/>
            </w:pPr>
            <w:r>
              <w:rPr>
                <w:b/>
                <w:sz w:val="16"/>
              </w:rPr>
              <w:t>Main Risks / Challenges</w:t>
            </w:r>
          </w:p>
        </w:tc>
        <w:tc>
          <w:tcPr>
            <w:tcW w:type="dxa" w:w="2835"/>
            <w:shd w:fill="DCE6F1"/>
            <w:vAlign w:val="center"/>
          </w:tcPr>
          <w:p>
            <w:pPr>
              <w:jc w:val="center"/>
            </w:pPr>
            <w:r>
              <w:rPr>
                <w:b/>
                <w:sz w:val="16"/>
              </w:rPr>
              <w:t>Finalized Technical Approach / Notes</w:t>
            </w:r>
          </w:p>
        </w:tc>
      </w:tr>
      <w:tr>
        <w:tc>
          <w:tcPr>
            <w:tcW w:type="dxa" w:w="454"/>
            <w:vAlign w:val="center"/>
          </w:tcPr>
          <w:p>
            <w:pPr>
              <w:spacing w:after="40" w:line="259" w:lineRule="auto"/>
            </w:pPr>
            <w:r>
              <w:rPr>
                <w:sz w:val="16"/>
              </w:rPr>
              <w:t>1</w:t>
            </w:r>
          </w:p>
        </w:tc>
        <w:tc>
          <w:tcPr>
            <w:tcW w:type="dxa" w:w="2154"/>
            <w:vAlign w:val="center"/>
          </w:tcPr>
          <w:p>
            <w:pPr>
              <w:spacing w:after="40" w:line="259" w:lineRule="auto"/>
            </w:pPr>
            <w:r>
              <w:rPr>
                <w:sz w:val="16"/>
              </w:rPr>
              <w:t>Raw Input Layer</w:t>
            </w:r>
          </w:p>
        </w:tc>
        <w:tc>
          <w:tcPr>
            <w:tcW w:type="dxa" w:w="2268"/>
            <w:vAlign w:val="center"/>
          </w:tcPr>
          <w:p>
            <w:pPr>
              <w:spacing w:after="40" w:line="259" w:lineRule="auto"/>
            </w:pPr>
            <w:r>
              <w:rPr>
                <w:sz w:val="16"/>
              </w:rPr>
              <w:t>Reads raw text directly as characters / bytes.</w:t>
            </w:r>
          </w:p>
        </w:tc>
        <w:tc>
          <w:tcPr>
            <w:tcW w:type="dxa" w:w="2154"/>
            <w:vAlign w:val="center"/>
          </w:tcPr>
          <w:p>
            <w:pPr>
              <w:spacing w:after="40" w:line="259" w:lineRule="auto"/>
            </w:pPr>
            <w:r>
              <w:rPr>
                <w:sz w:val="16"/>
              </w:rPr>
              <w:t>Encoding inconsistency; multilingual boundaries; noisy raw streams.</w:t>
            </w:r>
          </w:p>
        </w:tc>
        <w:tc>
          <w:tcPr>
            <w:tcW w:type="dxa" w:w="2835"/>
            <w:vAlign w:val="center"/>
          </w:tcPr>
          <w:p>
            <w:pPr>
              <w:spacing w:after="40" w:line="259" w:lineRule="auto"/>
            </w:pPr>
            <w:r>
              <w:rPr>
                <w:sz w:val="16"/>
              </w:rPr>
              <w:t>Fully tokenizer-free Unicode/byte ingestion with lightweight normalization at input boundaries only.</w:t>
            </w:r>
          </w:p>
        </w:tc>
      </w:tr>
      <w:tr>
        <w:tc>
          <w:tcPr>
            <w:tcW w:type="dxa" w:w="454"/>
            <w:vAlign w:val="center"/>
          </w:tcPr>
          <w:p>
            <w:pPr>
              <w:spacing w:after="40" w:line="259" w:lineRule="auto"/>
            </w:pPr>
            <w:r>
              <w:rPr>
                <w:sz w:val="16"/>
              </w:rPr>
              <w:t>2</w:t>
            </w:r>
          </w:p>
        </w:tc>
        <w:tc>
          <w:tcPr>
            <w:tcW w:type="dxa" w:w="2154"/>
            <w:vAlign w:val="center"/>
          </w:tcPr>
          <w:p>
            <w:pPr>
              <w:spacing w:after="40" w:line="259" w:lineRule="auto"/>
            </w:pPr>
            <w:r>
              <w:rPr>
                <w:sz w:val="16"/>
              </w:rPr>
              <w:t>Seeded Adaptive Unit Builder</w:t>
            </w:r>
          </w:p>
        </w:tc>
        <w:tc>
          <w:tcPr>
            <w:tcW w:type="dxa" w:w="2268"/>
            <w:vAlign w:val="center"/>
          </w:tcPr>
          <w:p>
            <w:pPr>
              <w:spacing w:after="40" w:line="259" w:lineRule="auto"/>
            </w:pPr>
            <w:r>
              <w:rPr>
                <w:sz w:val="16"/>
              </w:rPr>
              <w:t>Discovers reusable units dynamically from repeated patterns.</w:t>
            </w:r>
          </w:p>
        </w:tc>
        <w:tc>
          <w:tcPr>
            <w:tcW w:type="dxa" w:w="2154"/>
            <w:vAlign w:val="center"/>
          </w:tcPr>
          <w:p>
            <w:pPr>
              <w:spacing w:after="40" w:line="259" w:lineRule="auto"/>
            </w:pPr>
            <w:r>
              <w:rPr>
                <w:sz w:val="16"/>
              </w:rPr>
              <w:t>Cold start; garbage units; typo explosion; polysemy ambiguity.</w:t>
            </w:r>
          </w:p>
        </w:tc>
        <w:tc>
          <w:tcPr>
            <w:tcW w:type="dxa" w:w="2835"/>
            <w:vAlign w:val="center"/>
          </w:tcPr>
          <w:p>
            <w:pPr>
              <w:spacing w:after="40" w:line="259" w:lineRule="auto"/>
            </w:pPr>
            <w:r>
              <w:rPr>
                <w:sz w:val="16"/>
              </w:rPr>
              <w:t>Seed vocabulary of characters/common n-grams; frequency + utility score; minimum thresholds; edit-distance clustering; context-dependent sub-IDs; inspired by byte-level BPE (Sennrich et al., 2016) but dynamically pruned.</w:t>
            </w:r>
          </w:p>
        </w:tc>
      </w:tr>
      <w:tr>
        <w:tc>
          <w:tcPr>
            <w:tcW w:type="dxa" w:w="454"/>
            <w:vAlign w:val="center"/>
          </w:tcPr>
          <w:p>
            <w:pPr>
              <w:spacing w:after="40" w:line="259" w:lineRule="auto"/>
            </w:pPr>
            <w:r>
              <w:rPr>
                <w:sz w:val="16"/>
              </w:rPr>
              <w:t>3</w:t>
            </w:r>
          </w:p>
        </w:tc>
        <w:tc>
          <w:tcPr>
            <w:tcW w:type="dxa" w:w="2154"/>
            <w:vAlign w:val="center"/>
          </w:tcPr>
          <w:p>
            <w:pPr>
              <w:spacing w:after="40" w:line="259" w:lineRule="auto"/>
            </w:pPr>
            <w:r>
              <w:rPr>
                <w:sz w:val="16"/>
              </w:rPr>
              <w:t>Hierarchical Unit Layer</w:t>
            </w:r>
          </w:p>
        </w:tc>
        <w:tc>
          <w:tcPr>
            <w:tcW w:type="dxa" w:w="2268"/>
            <w:vAlign w:val="center"/>
          </w:tcPr>
          <w:p>
            <w:pPr>
              <w:spacing w:after="40" w:line="259" w:lineRule="auto"/>
            </w:pPr>
            <w:r>
              <w:rPr>
                <w:sz w:val="16"/>
              </w:rPr>
              <w:t>Organizes units into char / subword / word / phrase / pattern levels.</w:t>
            </w:r>
          </w:p>
        </w:tc>
        <w:tc>
          <w:tcPr>
            <w:tcW w:type="dxa" w:w="2154"/>
            <w:vAlign w:val="center"/>
          </w:tcPr>
          <w:p>
            <w:pPr>
              <w:spacing w:after="40" w:line="259" w:lineRule="auto"/>
            </w:pPr>
            <w:r>
              <w:rPr>
                <w:sz w:val="16"/>
              </w:rPr>
              <w:t>Over-fragmentation; ambiguous unit identity.</w:t>
            </w:r>
          </w:p>
        </w:tc>
        <w:tc>
          <w:tcPr>
            <w:tcW w:type="dxa" w:w="2835"/>
            <w:vAlign w:val="center"/>
          </w:tcPr>
          <w:p>
            <w:pPr>
              <w:spacing w:after="40" w:line="259" w:lineRule="auto"/>
            </w:pPr>
            <w:r>
              <w:rPr>
                <w:sz w:val="16"/>
              </w:rPr>
              <w:t>Dynamic multi-level hierarchy where ambiguous forms can branch contextually rather than collapse into one rigid meaning.</w:t>
            </w:r>
          </w:p>
        </w:tc>
      </w:tr>
      <w:tr>
        <w:tc>
          <w:tcPr>
            <w:tcW w:type="dxa" w:w="454"/>
            <w:vAlign w:val="center"/>
          </w:tcPr>
          <w:p>
            <w:pPr>
              <w:spacing w:after="40" w:line="259" w:lineRule="auto"/>
            </w:pPr>
            <w:r>
              <w:rPr>
                <w:sz w:val="16"/>
              </w:rPr>
              <w:t>4</w:t>
            </w:r>
          </w:p>
        </w:tc>
        <w:tc>
          <w:tcPr>
            <w:tcW w:type="dxa" w:w="2154"/>
            <w:vAlign w:val="center"/>
          </w:tcPr>
          <w:p>
            <w:pPr>
              <w:spacing w:after="40" w:line="259" w:lineRule="auto"/>
            </w:pPr>
            <w:r>
              <w:rPr>
                <w:sz w:val="16"/>
              </w:rPr>
              <w:t>Dual Unit Memory Store</w:t>
            </w:r>
          </w:p>
        </w:tc>
        <w:tc>
          <w:tcPr>
            <w:tcW w:type="dxa" w:w="2268"/>
            <w:vAlign w:val="center"/>
          </w:tcPr>
          <w:p>
            <w:pPr>
              <w:spacing w:after="40" w:line="259" w:lineRule="auto"/>
            </w:pPr>
            <w:r>
              <w:rPr>
                <w:sz w:val="16"/>
              </w:rPr>
              <w:t>Stores learned units and metadata.</w:t>
            </w:r>
          </w:p>
        </w:tc>
        <w:tc>
          <w:tcPr>
            <w:tcW w:type="dxa" w:w="2154"/>
            <w:vAlign w:val="center"/>
          </w:tcPr>
          <w:p>
            <w:pPr>
              <w:spacing w:after="40" w:line="259" w:lineRule="auto"/>
            </w:pPr>
            <w:r>
              <w:rPr>
                <w:sz w:val="16"/>
              </w:rPr>
              <w:t>Catastrophic forgetting; transient overfitting; long-run memory bloat.</w:t>
            </w:r>
          </w:p>
        </w:tc>
        <w:tc>
          <w:tcPr>
            <w:tcW w:type="dxa" w:w="2835"/>
            <w:vAlign w:val="center"/>
          </w:tcPr>
          <w:p>
            <w:pPr>
              <w:spacing w:after="40" w:line="259" w:lineRule="auto"/>
            </w:pPr>
            <w:r>
              <w:rPr>
                <w:sz w:val="16"/>
              </w:rPr>
              <w:t>Core Memory + Episodic Memory; store ID, frequency, utility, links, state, confidence, timestamp; different consolidation/decay rates.</w:t>
            </w:r>
          </w:p>
        </w:tc>
      </w:tr>
      <w:tr>
        <w:tc>
          <w:tcPr>
            <w:tcW w:type="dxa" w:w="454"/>
            <w:vAlign w:val="center"/>
          </w:tcPr>
          <w:p>
            <w:pPr>
              <w:spacing w:after="40" w:line="259" w:lineRule="auto"/>
            </w:pPr>
            <w:r>
              <w:rPr>
                <w:sz w:val="16"/>
              </w:rPr>
              <w:t>5</w:t>
            </w:r>
          </w:p>
        </w:tc>
        <w:tc>
          <w:tcPr>
            <w:tcW w:type="dxa" w:w="2154"/>
            <w:vAlign w:val="center"/>
          </w:tcPr>
          <w:p>
            <w:pPr>
              <w:spacing w:after="40" w:line="259" w:lineRule="auto"/>
            </w:pPr>
            <w:r>
              <w:rPr>
                <w:sz w:val="16"/>
              </w:rPr>
              <w:t>Regularized 3D Coarse Map Layer</w:t>
            </w:r>
          </w:p>
        </w:tc>
        <w:tc>
          <w:tcPr>
            <w:tcW w:type="dxa" w:w="2268"/>
            <w:vAlign w:val="center"/>
          </w:tcPr>
          <w:p>
            <w:pPr>
              <w:spacing w:after="40" w:line="259" w:lineRule="auto"/>
            </w:pPr>
            <w:r>
              <w:rPr>
                <w:sz w:val="16"/>
              </w:rPr>
              <w:t>Assigns coarse semantic/domain positions to units.</w:t>
            </w:r>
          </w:p>
        </w:tc>
        <w:tc>
          <w:tcPr>
            <w:tcW w:type="dxa" w:w="2154"/>
            <w:vAlign w:val="center"/>
          </w:tcPr>
          <w:p>
            <w:pPr>
              <w:spacing w:after="40" w:line="259" w:lineRule="auto"/>
            </w:pPr>
            <w:r>
              <w:rPr>
                <w:sz w:val="16"/>
              </w:rPr>
              <w:t>Spatial drift; link breakage; semantic collisions.</w:t>
            </w:r>
          </w:p>
        </w:tc>
        <w:tc>
          <w:tcPr>
            <w:tcW w:type="dxa" w:w="2835"/>
            <w:vAlign w:val="center"/>
          </w:tcPr>
          <w:p>
            <w:r>
              <w:t>Anchor points, position regularization, periodic re-indexing; position updates use energy minimization via force-directed layout, not backprop; Layer 18 converts prediction-error and routing-stability statistics into constrained spatial corrections.</w:t>
            </w:r>
          </w:p>
        </w:tc>
      </w:tr>
      <w:tr>
        <w:tc>
          <w:tcPr>
            <w:tcW w:type="dxa" w:w="454"/>
            <w:vAlign w:val="center"/>
          </w:tcPr>
          <w:p>
            <w:pPr>
              <w:spacing w:after="40" w:line="259" w:lineRule="auto"/>
            </w:pPr>
            <w:r>
              <w:rPr>
                <w:sz w:val="16"/>
              </w:rPr>
              <w:t>6</w:t>
            </w:r>
          </w:p>
        </w:tc>
        <w:tc>
          <w:tcPr>
            <w:tcW w:type="dxa" w:w="2154"/>
            <w:vAlign w:val="center"/>
          </w:tcPr>
          <w:p>
            <w:pPr>
              <w:spacing w:after="40" w:line="259" w:lineRule="auto"/>
            </w:pPr>
            <w:r>
              <w:rPr>
                <w:sz w:val="16"/>
              </w:rPr>
              <w:t>Hierarchical 3D Region Index</w:t>
            </w:r>
          </w:p>
        </w:tc>
        <w:tc>
          <w:tcPr>
            <w:tcW w:type="dxa" w:w="2268"/>
            <w:vAlign w:val="center"/>
          </w:tcPr>
          <w:p>
            <w:pPr>
              <w:spacing w:after="40" w:line="259" w:lineRule="auto"/>
            </w:pPr>
            <w:r>
              <w:rPr>
                <w:sz w:val="16"/>
              </w:rPr>
              <w:t>Partitions map space into searchable local regions.</w:t>
            </w:r>
          </w:p>
        </w:tc>
        <w:tc>
          <w:tcPr>
            <w:tcW w:type="dxa" w:w="2154"/>
            <w:vAlign w:val="center"/>
          </w:tcPr>
          <w:p>
            <w:pPr>
              <w:spacing w:after="40" w:line="259" w:lineRule="auto"/>
            </w:pPr>
            <w:r>
              <w:rPr>
                <w:sz w:val="16"/>
              </w:rPr>
              <w:t>Boundary effects; dense-region overload; missed neighbors.</w:t>
            </w:r>
          </w:p>
        </w:tc>
        <w:tc>
          <w:tcPr>
            <w:tcW w:type="dxa" w:w="2835"/>
            <w:vAlign w:val="center"/>
          </w:tcPr>
          <w:p>
            <w:pPr>
              <w:spacing w:after="40" w:line="259" w:lineRule="auto"/>
            </w:pPr>
            <w:r>
              <w:rPr>
                <w:sz w:val="16"/>
              </w:rPr>
              <w:t>Overlapping halo zones plus octree-style sub-regions in dense semantic clusters.</w:t>
            </w:r>
          </w:p>
        </w:tc>
      </w:tr>
      <w:tr>
        <w:tc>
          <w:tcPr>
            <w:tcW w:type="dxa" w:w="454"/>
            <w:vAlign w:val="center"/>
          </w:tcPr>
          <w:p>
            <w:pPr>
              <w:spacing w:after="40" w:line="259" w:lineRule="auto"/>
            </w:pPr>
            <w:r>
              <w:rPr>
                <w:sz w:val="16"/>
              </w:rPr>
              <w:t>7</w:t>
            </w:r>
          </w:p>
        </w:tc>
        <w:tc>
          <w:tcPr>
            <w:tcW w:type="dxa" w:w="2154"/>
            <w:vAlign w:val="center"/>
          </w:tcPr>
          <w:p>
            <w:pPr>
              <w:spacing w:after="40" w:line="259" w:lineRule="auto"/>
            </w:pPr>
            <w:r>
              <w:rPr>
                <w:sz w:val="16"/>
              </w:rPr>
              <w:t>Salience-Weighted Context Matrix</w:t>
            </w:r>
          </w:p>
        </w:tc>
        <w:tc>
          <w:tcPr>
            <w:tcW w:type="dxa" w:w="2268"/>
            <w:vAlign w:val="center"/>
          </w:tcPr>
          <w:p>
            <w:pPr>
              <w:spacing w:after="40" w:line="259" w:lineRule="auto"/>
            </w:pPr>
            <w:r>
              <w:rPr>
                <w:sz w:val="16"/>
              </w:rPr>
              <w:t>Maintains active present-context structure.</w:t>
            </w:r>
          </w:p>
        </w:tc>
        <w:tc>
          <w:tcPr>
            <w:tcW w:type="dxa" w:w="2154"/>
            <w:vAlign w:val="center"/>
          </w:tcPr>
          <w:p>
            <w:pPr>
              <w:spacing w:after="40" w:line="259" w:lineRule="auto"/>
            </w:pPr>
            <w:r>
              <w:rPr>
                <w:sz w:val="16"/>
              </w:rPr>
              <w:t>Context dilution; sparse irrelevance.</w:t>
            </w:r>
          </w:p>
        </w:tc>
        <w:tc>
          <w:tcPr>
            <w:tcW w:type="dxa" w:w="2835"/>
            <w:vAlign w:val="center"/>
          </w:tcPr>
          <w:p>
            <w:pPr>
              <w:spacing w:after="40" w:line="259" w:lineRule="auto"/>
            </w:pPr>
            <w:r>
              <w:rPr>
                <w:sz w:val="16"/>
              </w:rPr>
              <w:t>Recency + relevance weighting with decay of weakly relevant activations.</w:t>
            </w:r>
          </w:p>
        </w:tc>
      </w:tr>
      <w:tr>
        <w:tc>
          <w:tcPr>
            <w:tcW w:type="dxa" w:w="454"/>
            <w:vAlign w:val="center"/>
          </w:tcPr>
          <w:p>
            <w:pPr>
              <w:spacing w:after="40" w:line="259" w:lineRule="auto"/>
            </w:pPr>
            <w:r>
              <w:rPr>
                <w:sz w:val="16"/>
              </w:rPr>
              <w:t>8</w:t>
            </w:r>
          </w:p>
        </w:tc>
        <w:tc>
          <w:tcPr>
            <w:tcW w:type="dxa" w:w="2154"/>
            <w:vAlign w:val="center"/>
          </w:tcPr>
          <w:p>
            <w:pPr>
              <w:spacing w:after="40" w:line="259" w:lineRule="auto"/>
            </w:pPr>
            <w:r>
              <w:rPr>
                <w:sz w:val="16"/>
              </w:rPr>
              <w:t>Sequence State + Anchor Memory</w:t>
            </w:r>
          </w:p>
        </w:tc>
        <w:tc>
          <w:tcPr>
            <w:tcW w:type="dxa" w:w="2268"/>
            <w:vAlign w:val="center"/>
          </w:tcPr>
          <w:p>
            <w:pPr>
              <w:spacing w:after="40" w:line="259" w:lineRule="auto"/>
            </w:pPr>
            <w:r>
              <w:rPr>
                <w:sz w:val="16"/>
              </w:rPr>
              <w:t>Compresses recent history while preserving key details.</w:t>
            </w:r>
          </w:p>
        </w:tc>
        <w:tc>
          <w:tcPr>
            <w:tcW w:type="dxa" w:w="2154"/>
            <w:vAlign w:val="center"/>
          </w:tcPr>
          <w:p>
            <w:pPr>
              <w:spacing w:after="40" w:line="259" w:lineRule="auto"/>
            </w:pPr>
            <w:r>
              <w:rPr>
                <w:sz w:val="16"/>
              </w:rPr>
              <w:t>Compression loss; recency bias.</w:t>
            </w:r>
          </w:p>
        </w:tc>
        <w:tc>
          <w:tcPr>
            <w:tcW w:type="dxa" w:w="2835"/>
            <w:vAlign w:val="center"/>
          </w:tcPr>
          <w:p>
            <w:r>
              <w:t>Compact sequence state plus explicit anchor pointers for important prior units/events; protect high-importance slots using sustained salience, repeated cross-turn reuse, and task-critical entity/identifier heuristics.</w:t>
            </w:r>
          </w:p>
        </w:tc>
      </w:tr>
      <w:tr>
        <w:tc>
          <w:tcPr>
            <w:tcW w:type="dxa" w:w="454"/>
            <w:vAlign w:val="center"/>
          </w:tcPr>
          <w:p>
            <w:pPr>
              <w:spacing w:after="40" w:line="259" w:lineRule="auto"/>
            </w:pPr>
            <w:r>
              <w:rPr>
                <w:sz w:val="16"/>
              </w:rPr>
              <w:t>9</w:t>
            </w:r>
          </w:p>
        </w:tc>
        <w:tc>
          <w:tcPr>
            <w:tcW w:type="dxa" w:w="2154"/>
            <w:vAlign w:val="center"/>
          </w:tcPr>
          <w:p>
            <w:pPr>
              <w:spacing w:after="40" w:line="259" w:lineRule="auto"/>
            </w:pPr>
            <w:r>
              <w:rPr>
                <w:sz w:val="16"/>
              </w:rPr>
              <w:t>Intent, Uncertainty &amp; Need Detector</w:t>
            </w:r>
          </w:p>
        </w:tc>
        <w:tc>
          <w:tcPr>
            <w:tcW w:type="dxa" w:w="2268"/>
            <w:vAlign w:val="center"/>
          </w:tcPr>
          <w:p>
            <w:pPr>
              <w:spacing w:after="40" w:line="259" w:lineRule="auto"/>
            </w:pPr>
            <w:r>
              <w:rPr>
                <w:sz w:val="16"/>
              </w:rPr>
              <w:t>Decides whether internal knowledge is sufficient or search is needed.</w:t>
            </w:r>
          </w:p>
        </w:tc>
        <w:tc>
          <w:tcPr>
            <w:tcW w:type="dxa" w:w="2154"/>
            <w:vAlign w:val="center"/>
          </w:tcPr>
          <w:p>
            <w:pPr>
              <w:spacing w:after="40" w:line="259" w:lineRule="auto"/>
            </w:pPr>
            <w:r>
              <w:rPr>
                <w:sz w:val="16"/>
              </w:rPr>
              <w:t>False-positive search; false-negative search; hallucinated confidence.</w:t>
            </w:r>
          </w:p>
        </w:tc>
        <w:tc>
          <w:tcPr>
            <w:tcW w:type="dxa" w:w="2835"/>
            <w:vAlign w:val="center"/>
          </w:tcPr>
          <w:p>
            <w:r>
              <w:t>Decision uses a weighted retrieval score over confidence, entropy, disagreement, recency sensitivity, and cost penalty; e.g., trigger external retrieval if S = wH·H + wR·R + wD·D - wC·C &gt; τ, with 'entropy &gt; τ₁ OR recency &gt; τ₂' as a reproducible ablation example.</w:t>
            </w:r>
          </w:p>
        </w:tc>
      </w:tr>
      <w:tr>
        <w:tc>
          <w:tcPr>
            <w:tcW w:type="dxa" w:w="454"/>
            <w:vAlign w:val="center"/>
          </w:tcPr>
          <w:p>
            <w:pPr>
              <w:spacing w:after="40" w:line="259" w:lineRule="auto"/>
            </w:pPr>
            <w:r>
              <w:rPr>
                <w:sz w:val="16"/>
              </w:rPr>
              <w:t>10</w:t>
            </w:r>
          </w:p>
        </w:tc>
        <w:tc>
          <w:tcPr>
            <w:tcW w:type="dxa" w:w="2154"/>
            <w:vAlign w:val="center"/>
          </w:tcPr>
          <w:p>
            <w:pPr>
              <w:spacing w:after="40" w:line="259" w:lineRule="auto"/>
            </w:pPr>
            <w:r>
              <w:rPr>
                <w:sz w:val="16"/>
              </w:rPr>
              <w:t>Safe Query Builder</w:t>
            </w:r>
          </w:p>
        </w:tc>
        <w:tc>
          <w:tcPr>
            <w:tcW w:type="dxa" w:w="2268"/>
            <w:vAlign w:val="center"/>
          </w:tcPr>
          <w:p>
            <w:pPr>
              <w:spacing w:after="40" w:line="259" w:lineRule="auto"/>
            </w:pPr>
            <w:r>
              <w:rPr>
                <w:sz w:val="16"/>
              </w:rPr>
              <w:t>Converts internal state into a clean external search query.</w:t>
            </w:r>
          </w:p>
        </w:tc>
        <w:tc>
          <w:tcPr>
            <w:tcW w:type="dxa" w:w="2154"/>
            <w:vAlign w:val="center"/>
          </w:tcPr>
          <w:p>
            <w:pPr>
              <w:spacing w:after="40" w:line="259" w:lineRule="auto"/>
            </w:pPr>
            <w:r>
              <w:rPr>
                <w:sz w:val="16"/>
              </w:rPr>
              <w:t>Translation gap; privacy leakage.</w:t>
            </w:r>
          </w:p>
        </w:tc>
        <w:tc>
          <w:tcPr>
            <w:tcW w:type="dxa" w:w="2835"/>
            <w:vAlign w:val="center"/>
          </w:tcPr>
          <w:p>
            <w:pPr>
              <w:spacing w:after="40" w:line="259" w:lineRule="auto"/>
            </w:pPr>
            <w:r>
              <w:rPr>
                <w:sz w:val="16"/>
              </w:rPr>
              <w:t>Expand with semantic neighbors; strip PII; sanitize internal state into standard searchable terms.</w:t>
            </w:r>
          </w:p>
        </w:tc>
      </w:tr>
      <w:tr>
        <w:tc>
          <w:tcPr>
            <w:tcW w:type="dxa" w:w="454"/>
            <w:vAlign w:val="center"/>
          </w:tcPr>
          <w:p>
            <w:pPr>
              <w:spacing w:after="40" w:line="259" w:lineRule="auto"/>
            </w:pPr>
            <w:r>
              <w:rPr>
                <w:sz w:val="16"/>
              </w:rPr>
              <w:t>11</w:t>
            </w:r>
          </w:p>
        </w:tc>
        <w:tc>
          <w:tcPr>
            <w:tcW w:type="dxa" w:w="2154"/>
            <w:vAlign w:val="center"/>
          </w:tcPr>
          <w:p>
            <w:r>
              <w:t>External Retrieval Connector</w:t>
            </w:r>
          </w:p>
        </w:tc>
        <w:tc>
          <w:tcPr>
            <w:tcW w:type="dxa" w:w="2268"/>
            <w:vAlign w:val="center"/>
          </w:tcPr>
          <w:p>
            <w:r>
              <w:t>Retrieves external web information when needed.</w:t>
            </w:r>
          </w:p>
        </w:tc>
        <w:tc>
          <w:tcPr>
            <w:tcW w:type="dxa" w:w="2154"/>
            <w:vAlign w:val="center"/>
          </w:tcPr>
          <w:p>
            <w:pPr>
              <w:spacing w:after="40" w:line="259" w:lineRule="auto"/>
            </w:pPr>
            <w:r>
              <w:rPr>
                <w:sz w:val="16"/>
              </w:rPr>
              <w:t>Latency; timeouts; noisy sources.</w:t>
            </w:r>
          </w:p>
        </w:tc>
        <w:tc>
          <w:tcPr>
            <w:tcW w:type="dxa" w:w="2835"/>
            <w:vAlign w:val="center"/>
          </w:tcPr>
          <w:p>
            <w:pPr>
              <w:spacing w:after="40" w:line="259" w:lineRule="auto"/>
            </w:pPr>
            <w:r>
              <w:rPr>
                <w:sz w:val="16"/>
              </w:rPr>
              <w:t>Timeouts, caching, trust-aware retrieval, source filtering, and bounded retries.</w:t>
            </w:r>
          </w:p>
        </w:tc>
      </w:tr>
      <w:tr>
        <w:tc>
          <w:tcPr>
            <w:tcW w:type="dxa" w:w="454"/>
            <w:vAlign w:val="center"/>
          </w:tcPr>
          <w:p>
            <w:pPr>
              <w:spacing w:after="40" w:line="259" w:lineRule="auto"/>
            </w:pPr>
            <w:r>
              <w:rPr>
                <w:sz w:val="16"/>
              </w:rPr>
              <w:t>12</w:t>
            </w:r>
          </w:p>
        </w:tc>
        <w:tc>
          <w:tcPr>
            <w:tcW w:type="dxa" w:w="2154"/>
            <w:vAlign w:val="center"/>
          </w:tcPr>
          <w:p>
            <w:pPr>
              <w:spacing w:after="40" w:line="259" w:lineRule="auto"/>
            </w:pPr>
            <w:r>
              <w:t>Normalized External Content Ingestion</w:t>
            </w:r>
          </w:p>
        </w:tc>
        <w:tc>
          <w:tcPr>
            <w:tcW w:type="dxa" w:w="2268"/>
            <w:vAlign w:val="center"/>
          </w:tcPr>
          <w:p>
            <w:pPr>
              <w:spacing w:after="40" w:line="259" w:lineRule="auto"/>
            </w:pPr>
            <w:r>
              <w:rPr>
                <w:sz w:val="16"/>
              </w:rPr>
              <w:t>Converts web content into usable internal form.</w:t>
            </w:r>
          </w:p>
        </w:tc>
        <w:tc>
          <w:tcPr>
            <w:tcW w:type="dxa" w:w="2154"/>
            <w:vAlign w:val="center"/>
          </w:tcPr>
          <w:p>
            <w:pPr>
              <w:spacing w:after="40" w:line="259" w:lineRule="auto"/>
            </w:pPr>
            <w:r>
              <w:rPr>
                <w:sz w:val="16"/>
              </w:rPr>
              <w:t>Boilerplate; ads; prompt injection; parsing cost.</w:t>
            </w:r>
          </w:p>
        </w:tc>
        <w:tc>
          <w:tcPr>
            <w:tcW w:type="dxa" w:w="2835"/>
            <w:vAlign w:val="center"/>
          </w:tcPr>
          <w:p>
            <w:pPr>
              <w:spacing w:after="40" w:line="259" w:lineRule="auto"/>
            </w:pPr>
            <w:r>
              <w:rPr>
                <w:sz w:val="16"/>
              </w:rPr>
              <w:t>Readability extraction, HTML cleanup, normalization, noise removal; treat web content as data only; fast-path entity extraction before deeper ingestion.</w:t>
            </w:r>
          </w:p>
        </w:tc>
      </w:tr>
      <w:tr>
        <w:tc>
          <w:tcPr>
            <w:tcW w:type="dxa" w:w="454"/>
            <w:vAlign w:val="center"/>
          </w:tcPr>
          <w:p>
            <w:pPr>
              <w:spacing w:after="40" w:line="259" w:lineRule="auto"/>
            </w:pPr>
            <w:r>
              <w:rPr>
                <w:sz w:val="16"/>
              </w:rPr>
              <w:t>13</w:t>
            </w:r>
          </w:p>
        </w:tc>
        <w:tc>
          <w:tcPr>
            <w:tcW w:type="dxa" w:w="2154"/>
            <w:vAlign w:val="center"/>
          </w:tcPr>
          <w:p>
            <w:pPr>
              <w:spacing w:after="40" w:line="259" w:lineRule="auto"/>
            </w:pPr>
            <w:r>
              <w:rPr>
                <w:sz w:val="16"/>
              </w:rPr>
              <w:t>Evidence Merge &amp; Conflict Resolver</w:t>
            </w:r>
          </w:p>
        </w:tc>
        <w:tc>
          <w:tcPr>
            <w:tcW w:type="dxa" w:w="2268"/>
            <w:vAlign w:val="center"/>
          </w:tcPr>
          <w:p>
            <w:pPr>
              <w:spacing w:after="40" w:line="259" w:lineRule="auto"/>
            </w:pPr>
            <w:r>
              <w:rPr>
                <w:sz w:val="16"/>
              </w:rPr>
              <w:t>Combines internal memory with retrieved evidence.</w:t>
            </w:r>
          </w:p>
        </w:tc>
        <w:tc>
          <w:tcPr>
            <w:tcW w:type="dxa" w:w="2154"/>
            <w:vAlign w:val="center"/>
          </w:tcPr>
          <w:p>
            <w:pPr>
              <w:spacing w:after="40" w:line="259" w:lineRule="auto"/>
            </w:pPr>
            <w:r>
              <w:rPr>
                <w:sz w:val="16"/>
              </w:rPr>
              <w:t>Contradictions; misinformation absorption.</w:t>
            </w:r>
          </w:p>
        </w:tc>
        <w:tc>
          <w:tcPr>
            <w:tcW w:type="dxa" w:w="2835"/>
            <w:vAlign w:val="center"/>
          </w:tcPr>
          <w:p>
            <w:pPr>
              <w:spacing w:after="40" w:line="259" w:lineRule="auto"/>
            </w:pPr>
            <w:r>
              <w:rPr>
                <w:sz w:val="16"/>
              </w:rPr>
              <w:t>Merge using source reliability, timestamps, agreement across sources, and task type; temporal weighting between static vs. dynamic knowledge.</w:t>
            </w:r>
          </w:p>
        </w:tc>
      </w:tr>
      <w:tr>
        <w:tc>
          <w:tcPr>
            <w:tcW w:type="dxa" w:w="454"/>
            <w:vAlign w:val="center"/>
          </w:tcPr>
          <w:p>
            <w:pPr>
              <w:spacing w:after="40" w:line="259" w:lineRule="auto"/>
            </w:pPr>
            <w:r>
              <w:rPr>
                <w:sz w:val="16"/>
              </w:rPr>
              <w:t>14</w:t>
            </w:r>
          </w:p>
        </w:tc>
        <w:tc>
          <w:tcPr>
            <w:tcW w:type="dxa" w:w="2154"/>
            <w:vAlign w:val="center"/>
          </w:tcPr>
          <w:p>
            <w:pPr>
              <w:spacing w:after="40" w:line="259" w:lineRule="auto"/>
            </w:pPr>
            <w:r>
              <w:rPr>
                <w:sz w:val="16"/>
              </w:rPr>
              <w:t>Adaptive Calculated Search</w:t>
            </w:r>
          </w:p>
        </w:tc>
        <w:tc>
          <w:tcPr>
            <w:tcW w:type="dxa" w:w="2268"/>
            <w:vAlign w:val="center"/>
          </w:tcPr>
          <w:p>
            <w:pPr>
              <w:spacing w:after="40" w:line="259" w:lineRule="auto"/>
            </w:pPr>
            <w:r>
              <w:rPr>
                <w:sz w:val="16"/>
              </w:rPr>
              <w:t>Scores candidate units or answers.</w:t>
            </w:r>
          </w:p>
        </w:tc>
        <w:tc>
          <w:tcPr>
            <w:tcW w:type="dxa" w:w="2154"/>
            <w:vAlign w:val="center"/>
          </w:tcPr>
          <w:p>
            <w:pPr>
              <w:spacing w:after="40" w:line="259" w:lineRule="auto"/>
            </w:pPr>
            <w:r>
              <w:rPr>
                <w:sz w:val="16"/>
              </w:rPr>
              <w:t>Score-combination complexity; CPU overhead.</w:t>
            </w:r>
          </w:p>
        </w:tc>
        <w:tc>
          <w:tcPr>
            <w:tcW w:type="dxa" w:w="2835"/>
            <w:vAlign w:val="center"/>
          </w:tcPr>
          <w:p>
            <w:r>
              <w:t>Adaptive scoring over spatial fit, context fit, sequence fit, transitions, utility, confidence, and evidence support; when retrieval modules are inactive, evidence support defaults to zero; complexity O(k·d), where k is the pruned post-routing candidate set.</w:t>
            </w:r>
          </w:p>
        </w:tc>
      </w:tr>
      <w:tr>
        <w:tc>
          <w:tcPr>
            <w:tcW w:type="dxa" w:w="454"/>
            <w:vAlign w:val="center"/>
          </w:tcPr>
          <w:p>
            <w:pPr>
              <w:spacing w:after="40" w:line="259" w:lineRule="auto"/>
            </w:pPr>
            <w:r>
              <w:rPr>
                <w:sz w:val="16"/>
              </w:rPr>
              <w:t>15</w:t>
            </w:r>
          </w:p>
        </w:tc>
        <w:tc>
          <w:tcPr>
            <w:tcW w:type="dxa" w:w="2154"/>
            <w:vAlign w:val="center"/>
          </w:tcPr>
          <w:p>
            <w:r>
              <w:t>Internal Candidate Router with Escape</w:t>
            </w:r>
          </w:p>
        </w:tc>
        <w:tc>
          <w:tcPr>
            <w:tcW w:type="dxa" w:w="2268"/>
            <w:vAlign w:val="center"/>
          </w:tcPr>
          <w:p>
            <w:r>
              <w:t>Narrows internal candidate search to a nearby set efficiently.</w:t>
            </w:r>
          </w:p>
        </w:tc>
        <w:tc>
          <w:tcPr>
            <w:tcW w:type="dxa" w:w="2154"/>
            <w:vAlign w:val="center"/>
          </w:tcPr>
          <w:p>
            <w:pPr>
              <w:spacing w:after="40" w:line="259" w:lineRule="auto"/>
            </w:pPr>
            <w:r>
              <w:rPr>
                <w:sz w:val="16"/>
              </w:rPr>
              <w:t>Local minima trapping; missed distant concepts.</w:t>
            </w:r>
          </w:p>
        </w:tc>
        <w:tc>
          <w:tcPr>
            <w:tcW w:type="dxa" w:w="2835"/>
            <w:vAlign w:val="center"/>
          </w:tcPr>
          <w:p>
            <w:pPr>
              <w:spacing w:after="40" w:line="259" w:lineRule="auto"/>
            </w:pPr>
            <w:r>
              <w:rPr>
                <w:sz w:val="16"/>
              </w:rPr>
              <w:t>Local routing plus beam search, stochastic jump, or occasional global escape.</w:t>
            </w:r>
          </w:p>
        </w:tc>
      </w:tr>
      <w:tr>
        <w:tc>
          <w:tcPr>
            <w:tcW w:type="dxa" w:w="454"/>
            <w:vAlign w:val="center"/>
          </w:tcPr>
          <w:p>
            <w:pPr>
              <w:spacing w:after="40" w:line="259" w:lineRule="auto"/>
            </w:pPr>
            <w:r>
              <w:rPr>
                <w:sz w:val="16"/>
              </w:rPr>
              <w:t>16</w:t>
            </w:r>
          </w:p>
        </w:tc>
        <w:tc>
          <w:tcPr>
            <w:tcW w:type="dxa" w:w="2154"/>
            <w:vAlign w:val="center"/>
          </w:tcPr>
          <w:p>
            <w:pPr>
              <w:spacing w:after="40" w:line="259" w:lineRule="auto"/>
            </w:pPr>
            <w:r>
              <w:rPr>
                <w:sz w:val="16"/>
              </w:rPr>
              <w:t>Fine Resolver</w:t>
            </w:r>
          </w:p>
        </w:tc>
        <w:tc>
          <w:tcPr>
            <w:tcW w:type="dxa" w:w="2268"/>
            <w:vAlign w:val="center"/>
          </w:tcPr>
          <w:p>
            <w:pPr>
              <w:spacing w:after="40" w:line="259" w:lineRule="auto"/>
            </w:pPr>
            <w:r>
              <w:rPr>
                <w:sz w:val="16"/>
              </w:rPr>
              <w:t>Selects the exact next unit from shortlisted candidates.</w:t>
            </w:r>
          </w:p>
        </w:tc>
        <w:tc>
          <w:tcPr>
            <w:tcW w:type="dxa" w:w="2154"/>
            <w:vAlign w:val="center"/>
          </w:tcPr>
          <w:p>
            <w:pPr>
              <w:spacing w:after="40" w:line="259" w:lineRule="auto"/>
            </w:pPr>
            <w:r>
              <w:rPr>
                <w:sz w:val="16"/>
              </w:rPr>
              <w:t>Over-determinism; unstable final choice.</w:t>
            </w:r>
          </w:p>
        </w:tc>
        <w:tc>
          <w:tcPr>
            <w:tcW w:type="dxa" w:w="2835"/>
            <w:vAlign w:val="center"/>
          </w:tcPr>
          <w:p>
            <w:pPr>
              <w:spacing w:after="40" w:line="259" w:lineRule="auto"/>
            </w:pPr>
            <w:r>
              <w:rPr>
                <w:sz w:val="16"/>
              </w:rPr>
              <w:t>Task-aware deterministic/probabilistic choice with controlled temperature or noise.</w:t>
            </w:r>
          </w:p>
        </w:tc>
      </w:tr>
      <w:tr>
        <w:tc>
          <w:tcPr>
            <w:tcW w:type="dxa" w:w="454"/>
            <w:vAlign w:val="center"/>
          </w:tcPr>
          <w:p>
            <w:pPr>
              <w:spacing w:after="40" w:line="259" w:lineRule="auto"/>
            </w:pPr>
            <w:r>
              <w:rPr>
                <w:sz w:val="16"/>
              </w:rPr>
              <w:t>17</w:t>
            </w:r>
          </w:p>
        </w:tc>
        <w:tc>
          <w:tcPr>
            <w:tcW w:type="dxa" w:w="2154"/>
            <w:vAlign w:val="center"/>
          </w:tcPr>
          <w:p>
            <w:pPr>
              <w:spacing w:after="40" w:line="259" w:lineRule="auto"/>
            </w:pPr>
            <w:r>
              <w:rPr>
                <w:sz w:val="16"/>
              </w:rPr>
              <w:t>Output Decoder</w:t>
            </w:r>
          </w:p>
        </w:tc>
        <w:tc>
          <w:tcPr>
            <w:tcW w:type="dxa" w:w="2268"/>
            <w:vAlign w:val="center"/>
          </w:tcPr>
          <w:p>
            <w:pPr>
              <w:spacing w:after="40" w:line="259" w:lineRule="auto"/>
            </w:pPr>
            <w:r>
              <w:rPr>
                <w:sz w:val="16"/>
              </w:rPr>
              <w:t>Converts resolved units back into surface text.</w:t>
            </w:r>
          </w:p>
        </w:tc>
        <w:tc>
          <w:tcPr>
            <w:tcW w:type="dxa" w:w="2154"/>
            <w:vAlign w:val="center"/>
          </w:tcPr>
          <w:p>
            <w:pPr>
              <w:spacing w:after="40" w:line="259" w:lineRule="auto"/>
            </w:pPr>
            <w:r>
              <w:rPr>
                <w:sz w:val="16"/>
              </w:rPr>
              <w:t>Awkward reconstruction; grounding loss.</w:t>
            </w:r>
          </w:p>
        </w:tc>
        <w:tc>
          <w:tcPr>
            <w:tcW w:type="dxa" w:w="2835"/>
            <w:vAlign w:val="center"/>
          </w:tcPr>
          <w:p>
            <w:pPr>
              <w:spacing w:after="40" w:line="259" w:lineRule="auto"/>
            </w:pPr>
            <w:r>
              <w:rPr>
                <w:sz w:val="16"/>
              </w:rPr>
              <w:t>Decode into fluent text while favoring grounded phrasing when recent evidence is active.</w:t>
            </w:r>
          </w:p>
        </w:tc>
      </w:tr>
      <w:tr>
        <w:tc>
          <w:tcPr>
            <w:tcW w:type="dxa" w:w="454"/>
            <w:vAlign w:val="center"/>
          </w:tcPr>
          <w:p>
            <w:pPr>
              <w:spacing w:after="40" w:line="259" w:lineRule="auto"/>
            </w:pPr>
            <w:r>
              <w:rPr>
                <w:sz w:val="16"/>
              </w:rPr>
              <w:t>18</w:t>
            </w:r>
          </w:p>
        </w:tc>
        <w:tc>
          <w:tcPr>
            <w:tcW w:type="dxa" w:w="2154"/>
            <w:vAlign w:val="center"/>
          </w:tcPr>
          <w:p>
            <w:pPr>
              <w:spacing w:after="40" w:line="259" w:lineRule="auto"/>
            </w:pPr>
            <w:r>
              <w:rPr>
                <w:sz w:val="16"/>
              </w:rPr>
              <w:t>Layer-Specific Feedback Update</w:t>
            </w:r>
          </w:p>
        </w:tc>
        <w:tc>
          <w:tcPr>
            <w:tcW w:type="dxa" w:w="2268"/>
            <w:vAlign w:val="center"/>
          </w:tcPr>
          <w:p>
            <w:pPr>
              <w:spacing w:after="40" w:line="259" w:lineRule="auto"/>
            </w:pPr>
            <w:r>
              <w:rPr>
                <w:sz w:val="16"/>
              </w:rPr>
              <w:t>Updates system behavior after prediction/use.</w:t>
            </w:r>
          </w:p>
        </w:tc>
        <w:tc>
          <w:tcPr>
            <w:tcW w:type="dxa" w:w="2154"/>
            <w:vAlign w:val="center"/>
          </w:tcPr>
          <w:p>
            <w:pPr>
              <w:spacing w:after="40" w:line="259" w:lineRule="auto"/>
            </w:pPr>
            <w:r>
              <w:rPr>
                <w:sz w:val="16"/>
              </w:rPr>
              <w:t>Credit assignment problem; unstable learning.</w:t>
            </w:r>
          </w:p>
        </w:tc>
        <w:tc>
          <w:tcPr>
            <w:tcW w:type="dxa" w:w="2835"/>
            <w:vAlign w:val="center"/>
          </w:tcPr>
          <w:p>
            <w:r>
              <w:t>Layer 18 orchestrates durable subsystem-specific updates for builder, map, resolver, query builder, merge logic, and memory policy; local online statistics may be collected elsewhere, but committed learning updates are coordinated here.</w:t>
            </w:r>
          </w:p>
        </w:tc>
      </w:tr>
      <w:tr>
        <w:tc>
          <w:tcPr>
            <w:tcW w:type="dxa" w:w="454"/>
            <w:vAlign w:val="center"/>
          </w:tcPr>
          <w:p>
            <w:pPr>
              <w:spacing w:after="40" w:line="259" w:lineRule="auto"/>
            </w:pPr>
            <w:r>
              <w:rPr>
                <w:sz w:val="16"/>
              </w:rPr>
              <w:t>19</w:t>
            </w:r>
          </w:p>
        </w:tc>
        <w:tc>
          <w:tcPr>
            <w:tcW w:type="dxa" w:w="2154"/>
            <w:vAlign w:val="center"/>
          </w:tcPr>
          <w:p>
            <w:pPr>
              <w:spacing w:after="40" w:line="259" w:lineRule="auto"/>
            </w:pPr>
            <w:r>
              <w:rPr>
                <w:sz w:val="16"/>
              </w:rPr>
              <w:t>Trust, Safety &amp; Source Validation</w:t>
            </w:r>
          </w:p>
        </w:tc>
        <w:tc>
          <w:tcPr>
            <w:tcW w:type="dxa" w:w="2268"/>
            <w:vAlign w:val="center"/>
          </w:tcPr>
          <w:p>
            <w:pPr>
              <w:spacing w:after="40" w:line="259" w:lineRule="auto"/>
            </w:pPr>
            <w:r>
              <w:rPr>
                <w:sz w:val="16"/>
              </w:rPr>
              <w:t>Protects against bad external data.</w:t>
            </w:r>
          </w:p>
        </w:tc>
        <w:tc>
          <w:tcPr>
            <w:tcW w:type="dxa" w:w="2154"/>
            <w:vAlign w:val="center"/>
          </w:tcPr>
          <w:p>
            <w:pPr>
              <w:spacing w:after="40" w:line="259" w:lineRule="auto"/>
            </w:pPr>
            <w:r>
              <w:rPr>
                <w:sz w:val="16"/>
              </w:rPr>
              <w:t>SEO spam; poisoning; malicious prompt injection.</w:t>
            </w:r>
          </w:p>
        </w:tc>
        <w:tc>
          <w:tcPr>
            <w:tcW w:type="dxa" w:w="2835"/>
            <w:vAlign w:val="center"/>
          </w:tcPr>
          <w:p>
            <w:pPr>
              <w:spacing w:after="40" w:line="259" w:lineRule="auto"/>
            </w:pPr>
            <w:r>
              <w:rPr>
                <w:sz w:val="16"/>
              </w:rPr>
              <w:t>Source trust heuristics, corroboration, injection resistance, low default trust for new web facts.</w:t>
            </w:r>
          </w:p>
        </w:tc>
      </w:tr>
      <w:tr>
        <w:tc>
          <w:tcPr>
            <w:tcW w:type="dxa" w:w="454"/>
            <w:vAlign w:val="center"/>
          </w:tcPr>
          <w:p>
            <w:pPr>
              <w:spacing w:after="40" w:line="259" w:lineRule="auto"/>
            </w:pPr>
            <w:r>
              <w:rPr>
                <w:sz w:val="16"/>
              </w:rPr>
              <w:t>20</w:t>
            </w:r>
          </w:p>
        </w:tc>
        <w:tc>
          <w:tcPr>
            <w:tcW w:type="dxa" w:w="2154"/>
            <w:vAlign w:val="center"/>
          </w:tcPr>
          <w:p>
            <w:pPr>
              <w:spacing w:after="40" w:line="259" w:lineRule="auto"/>
            </w:pPr>
            <w:r>
              <w:rPr>
                <w:sz w:val="16"/>
              </w:rPr>
              <w:t>Debug &amp; Explainability</w:t>
            </w:r>
          </w:p>
        </w:tc>
        <w:tc>
          <w:tcPr>
            <w:tcW w:type="dxa" w:w="2268"/>
            <w:vAlign w:val="center"/>
          </w:tcPr>
          <w:p>
            <w:pPr>
              <w:spacing w:after="40" w:line="259" w:lineRule="auto"/>
            </w:pPr>
            <w:r>
              <w:rPr>
                <w:sz w:val="16"/>
              </w:rPr>
              <w:t>Makes decisions traceable.</w:t>
            </w:r>
          </w:p>
        </w:tc>
        <w:tc>
          <w:tcPr>
            <w:tcW w:type="dxa" w:w="2154"/>
            <w:vAlign w:val="center"/>
          </w:tcPr>
          <w:p>
            <w:pPr>
              <w:spacing w:after="40" w:line="259" w:lineRule="auto"/>
            </w:pPr>
            <w:r>
              <w:rPr>
                <w:sz w:val="16"/>
              </w:rPr>
              <w:t>Opaque errors; poor tuning visibility.</w:t>
            </w:r>
          </w:p>
        </w:tc>
        <w:tc>
          <w:tcPr>
            <w:tcW w:type="dxa" w:w="2835"/>
            <w:vAlign w:val="center"/>
          </w:tcPr>
          <w:p>
            <w:pPr>
              <w:spacing w:after="40" w:line="259" w:lineRule="auto"/>
            </w:pPr>
            <w:r>
              <w:rPr>
                <w:sz w:val="16"/>
              </w:rPr>
              <w:t>Log score breakdowns for spatial, context, sequence, evidence, confidence, and routing path.</w:t>
            </w:r>
          </w:p>
        </w:tc>
      </w:tr>
      <w:tr>
        <w:tc>
          <w:tcPr>
            <w:tcW w:type="dxa" w:w="454"/>
            <w:vAlign w:val="center"/>
          </w:tcPr>
          <w:p>
            <w:pPr>
              <w:spacing w:after="40" w:line="259" w:lineRule="auto"/>
            </w:pPr>
            <w:r>
              <w:rPr>
                <w:sz w:val="16"/>
              </w:rPr>
              <w:t>21</w:t>
            </w:r>
          </w:p>
        </w:tc>
        <w:tc>
          <w:tcPr>
            <w:tcW w:type="dxa" w:w="2154"/>
            <w:vAlign w:val="center"/>
          </w:tcPr>
          <w:p>
            <w:pPr>
              <w:spacing w:after="40" w:line="259" w:lineRule="auto"/>
            </w:pPr>
            <w:r>
              <w:rPr>
                <w:sz w:val="16"/>
              </w:rPr>
              <w:t>Memory Management &amp; Archival</w:t>
            </w:r>
          </w:p>
        </w:tc>
        <w:tc>
          <w:tcPr>
            <w:tcW w:type="dxa" w:w="2268"/>
            <w:vAlign w:val="center"/>
          </w:tcPr>
          <w:p>
            <w:pPr>
              <w:spacing w:after="40" w:line="259" w:lineRule="auto"/>
            </w:pPr>
            <w:r>
              <w:rPr>
                <w:sz w:val="16"/>
              </w:rPr>
              <w:t>Prevents unbounded growth and fragmentation.</w:t>
            </w:r>
          </w:p>
        </w:tc>
        <w:tc>
          <w:tcPr>
            <w:tcW w:type="dxa" w:w="2154"/>
            <w:vAlign w:val="center"/>
          </w:tcPr>
          <w:p>
            <w:pPr>
              <w:spacing w:after="40" w:line="259" w:lineRule="auto"/>
            </w:pPr>
            <w:r>
              <w:rPr>
                <w:sz w:val="16"/>
              </w:rPr>
              <w:t>Storage blow-up; slowdown; rare-but-important loss.</w:t>
            </w:r>
          </w:p>
        </w:tc>
        <w:tc>
          <w:tcPr>
            <w:tcW w:type="dxa" w:w="2835"/>
            <w:vAlign w:val="center"/>
          </w:tcPr>
          <w:p>
            <w:r>
              <w:t>LFU + recency decay; preserve anchor units selected by sustained salience, repeated reuse, named-entity/identifier status, or task-critical role; cold storage plus background compaction from episodic to core memory under bounded personal-workload assumptions.</w:t>
            </w:r>
          </w:p>
        </w:tc>
      </w:tr>
    </w:tbl>
    <w:p/>
    <w:p>
      <w:pPr>
        <w:pStyle w:val="Heading1"/>
      </w:pPr>
      <w:r>
        <w:t>Runtime Flow</w:t>
      </w:r>
    </w:p>
    <w:p>
      <w:r>
        <w:t>At inference time the architecture behaves as a routing-and-resolution system rather than a pure dense forward pass. The operational sequence is intentionally staged so that inexpensive pruning happens before expensive scoring.</w:t>
      </w:r>
    </w:p>
    <w:tbl>
      <w:tblPr>
        <w:tblStyle w:val="TableGrid"/>
        <w:tblW w:type="auto" w:w="0"/>
        <w:jc w:val="center"/>
        <w:tblLayout w:type="fixed"/>
        <w:tblLook w:firstColumn="1" w:firstRow="1" w:lastColumn="0" w:lastRow="0" w:noHBand="0" w:noVBand="1" w:val="04A0"/>
      </w:tblPr>
      <w:tblGrid>
        <w:gridCol w:w="4986"/>
        <w:gridCol w:w="4986"/>
      </w:tblGrid>
      <w:tr>
        <w:tc>
          <w:tcPr>
            <w:tcW w:type="dxa" w:w="680"/>
            <w:shd w:fill="DCE6F1"/>
            <w:vAlign w:val="center"/>
          </w:tcPr>
          <w:p>
            <w:pPr>
              <w:jc w:val="center"/>
            </w:pPr>
            <w:r>
              <w:rPr>
                <w:b/>
                <w:sz w:val="18"/>
              </w:rPr>
              <w:t>Step</w:t>
            </w:r>
          </w:p>
        </w:tc>
        <w:tc>
          <w:tcPr>
            <w:tcW w:type="dxa" w:w="8504"/>
            <w:shd w:fill="DCE6F1"/>
            <w:vAlign w:val="center"/>
          </w:tcPr>
          <w:p>
            <w:pPr>
              <w:jc w:val="center"/>
            </w:pPr>
            <w:r>
              <w:rPr>
                <w:b/>
                <w:sz w:val="18"/>
              </w:rPr>
              <w:t>Runtime operation</w:t>
            </w:r>
          </w:p>
        </w:tc>
      </w:tr>
      <w:tr>
        <w:tc>
          <w:tcPr>
            <w:tcW w:type="dxa" w:w="680"/>
            <w:vAlign w:val="center"/>
          </w:tcPr>
          <w:p>
            <w:pPr>
              <w:spacing w:after="40" w:line="259" w:lineRule="auto"/>
            </w:pPr>
            <w:r>
              <w:rPr>
                <w:sz w:val="18"/>
              </w:rPr>
              <w:t>1</w:t>
            </w:r>
          </w:p>
        </w:tc>
        <w:tc>
          <w:tcPr>
            <w:tcW w:type="dxa" w:w="8504"/>
            <w:vAlign w:val="center"/>
          </w:tcPr>
          <w:p>
            <w:pPr>
              <w:spacing w:after="40" w:line="259" w:lineRule="auto"/>
            </w:pPr>
            <w:r>
              <w:rPr>
                <w:sz w:val="18"/>
              </w:rPr>
              <w:t>Raw input is ingested as bytes/characters.</w:t>
            </w:r>
          </w:p>
        </w:tc>
      </w:tr>
      <w:tr>
        <w:tc>
          <w:tcPr>
            <w:tcW w:type="dxa" w:w="680"/>
            <w:vAlign w:val="center"/>
          </w:tcPr>
          <w:p>
            <w:pPr>
              <w:spacing w:after="40" w:line="259" w:lineRule="auto"/>
            </w:pPr>
            <w:r>
              <w:rPr>
                <w:sz w:val="18"/>
              </w:rPr>
              <w:t>2</w:t>
            </w:r>
          </w:p>
        </w:tc>
        <w:tc>
          <w:tcPr>
            <w:tcW w:type="dxa" w:w="8504"/>
            <w:vAlign w:val="center"/>
          </w:tcPr>
          <w:p>
            <w:pPr>
              <w:spacing w:after="40" w:line="259" w:lineRule="auto"/>
            </w:pPr>
            <w:r>
              <w:rPr>
                <w:sz w:val="18"/>
              </w:rPr>
              <w:t>Seeded adaptive unit matching and dynamic unit discovery activate reusable structures.</w:t>
            </w:r>
          </w:p>
        </w:tc>
      </w:tr>
      <w:tr>
        <w:tc>
          <w:tcPr>
            <w:tcW w:type="dxa" w:w="680"/>
            <w:vAlign w:val="center"/>
          </w:tcPr>
          <w:p>
            <w:pPr>
              <w:spacing w:after="40" w:line="259" w:lineRule="auto"/>
            </w:pPr>
            <w:r>
              <w:rPr>
                <w:sz w:val="18"/>
              </w:rPr>
              <w:t>3</w:t>
            </w:r>
          </w:p>
        </w:tc>
        <w:tc>
          <w:tcPr>
            <w:tcW w:type="dxa" w:w="8504"/>
            <w:vAlign w:val="center"/>
          </w:tcPr>
          <w:p>
            <w:pPr>
              <w:spacing w:after="40" w:line="259" w:lineRule="auto"/>
            </w:pPr>
            <w:r>
              <w:rPr>
                <w:sz w:val="18"/>
              </w:rPr>
              <w:t>Hierarchical unit representations are updated across char, subword, word, phrase, and pattern levels.</w:t>
            </w:r>
          </w:p>
        </w:tc>
      </w:tr>
      <w:tr>
        <w:tc>
          <w:tcPr>
            <w:tcW w:type="dxa" w:w="680"/>
            <w:vAlign w:val="center"/>
          </w:tcPr>
          <w:p>
            <w:pPr>
              <w:spacing w:after="40" w:line="259" w:lineRule="auto"/>
            </w:pPr>
            <w:r>
              <w:rPr>
                <w:sz w:val="18"/>
              </w:rPr>
              <w:t>4</w:t>
            </w:r>
          </w:p>
        </w:tc>
        <w:tc>
          <w:tcPr>
            <w:tcW w:type="dxa" w:w="8504"/>
            <w:vAlign w:val="center"/>
          </w:tcPr>
          <w:p>
            <w:pPr>
              <w:spacing w:after="40" w:line="259" w:lineRule="auto"/>
            </w:pPr>
            <w:r>
              <w:rPr>
                <w:sz w:val="18"/>
              </w:rPr>
              <w:t>Activated units are routed into the hierarchical 3D region structure.</w:t>
            </w:r>
          </w:p>
        </w:tc>
      </w:tr>
      <w:tr>
        <w:tc>
          <w:tcPr>
            <w:tcW w:type="dxa" w:w="680"/>
            <w:vAlign w:val="center"/>
          </w:tcPr>
          <w:p>
            <w:pPr>
              <w:spacing w:after="40" w:line="259" w:lineRule="auto"/>
            </w:pPr>
            <w:r>
              <w:rPr>
                <w:sz w:val="18"/>
              </w:rPr>
              <w:t>5</w:t>
            </w:r>
          </w:p>
        </w:tc>
        <w:tc>
          <w:tcPr>
            <w:tcW w:type="dxa" w:w="8504"/>
            <w:vAlign w:val="center"/>
          </w:tcPr>
          <w:p>
            <w:pPr>
              <w:spacing w:after="40" w:line="259" w:lineRule="auto"/>
            </w:pPr>
            <w:r>
              <w:rPr>
                <w:sz w:val="18"/>
              </w:rPr>
              <w:t>The salience-weighted context matrix and sequence/anchor state are refreshed.</w:t>
            </w:r>
          </w:p>
        </w:tc>
      </w:tr>
      <w:tr>
        <w:tc>
          <w:tcPr>
            <w:tcW w:type="dxa" w:w="680"/>
            <w:vAlign w:val="center"/>
          </w:tcPr>
          <w:p>
            <w:pPr>
              <w:spacing w:after="40" w:line="259" w:lineRule="auto"/>
            </w:pPr>
            <w:r>
              <w:rPr>
                <w:sz w:val="18"/>
              </w:rPr>
              <w:t>6</w:t>
            </w:r>
          </w:p>
        </w:tc>
        <w:tc>
          <w:tcPr>
            <w:tcW w:type="dxa" w:w="8504"/>
            <w:vAlign w:val="center"/>
          </w:tcPr>
          <w:p>
            <w:pPr>
              <w:spacing w:after="40" w:line="259" w:lineRule="auto"/>
            </w:pPr>
            <w:r>
              <w:rPr>
                <w:sz w:val="18"/>
              </w:rPr>
              <w:t>The intent and uncertainty detector determines whether internal evidence is sufficient.</w:t>
            </w:r>
          </w:p>
        </w:tc>
      </w:tr>
      <w:tr>
        <w:tc>
          <w:tcPr>
            <w:tcW w:type="dxa" w:w="680"/>
            <w:vAlign w:val="center"/>
          </w:tcPr>
          <w:p>
            <w:pPr>
              <w:spacing w:after="40" w:line="259" w:lineRule="auto"/>
            </w:pPr>
            <w:r>
              <w:rPr>
                <w:sz w:val="18"/>
              </w:rPr>
              <w:t>7</w:t>
            </w:r>
          </w:p>
        </w:tc>
        <w:tc>
          <w:tcPr>
            <w:tcW w:type="dxa" w:w="8504"/>
            <w:vAlign w:val="center"/>
          </w:tcPr>
          <w:p>
            <w:pPr>
              <w:spacing w:after="40" w:line="259" w:lineRule="auto"/>
            </w:pPr>
            <w:r>
              <w:rPr>
                <w:sz w:val="18"/>
              </w:rPr>
              <w:t>If retrieval is required, a safe query is built and sent through the web connector.</w:t>
            </w:r>
          </w:p>
        </w:tc>
      </w:tr>
      <w:tr>
        <w:tc>
          <w:tcPr>
            <w:tcW w:type="dxa" w:w="680"/>
            <w:vAlign w:val="center"/>
          </w:tcPr>
          <w:p>
            <w:pPr>
              <w:spacing w:after="40" w:line="259" w:lineRule="auto"/>
            </w:pPr>
            <w:r>
              <w:rPr>
                <w:sz w:val="18"/>
              </w:rPr>
              <w:t>8</w:t>
            </w:r>
          </w:p>
        </w:tc>
        <w:tc>
          <w:tcPr>
            <w:tcW w:type="dxa" w:w="8504"/>
            <w:vAlign w:val="center"/>
          </w:tcPr>
          <w:p>
            <w:pPr>
              <w:spacing w:after="40" w:line="259" w:lineRule="auto"/>
            </w:pPr>
            <w:r>
              <w:rPr>
                <w:sz w:val="18"/>
              </w:rPr>
              <w:t>Results are normalized, filtered, and partially ingested through a fast path for immediate use.</w:t>
            </w:r>
          </w:p>
        </w:tc>
      </w:tr>
      <w:tr>
        <w:tc>
          <w:tcPr>
            <w:tcW w:type="dxa" w:w="680"/>
            <w:vAlign w:val="center"/>
          </w:tcPr>
          <w:p>
            <w:pPr>
              <w:spacing w:after="40" w:line="259" w:lineRule="auto"/>
            </w:pPr>
            <w:r>
              <w:rPr>
                <w:sz w:val="18"/>
              </w:rPr>
              <w:t>9</w:t>
            </w:r>
          </w:p>
        </w:tc>
        <w:tc>
          <w:tcPr>
            <w:tcW w:type="dxa" w:w="8504"/>
            <w:vAlign w:val="center"/>
          </w:tcPr>
          <w:p>
            <w:pPr>
              <w:spacing w:after="40" w:line="259" w:lineRule="auto"/>
            </w:pPr>
            <w:r>
              <w:rPr>
                <w:sz w:val="18"/>
              </w:rPr>
              <w:t>Evidence merge reconciles retrieved evidence with existing memory.</w:t>
            </w:r>
          </w:p>
        </w:tc>
      </w:tr>
      <w:tr>
        <w:tc>
          <w:tcPr>
            <w:tcW w:type="dxa" w:w="680"/>
            <w:vAlign w:val="center"/>
          </w:tcPr>
          <w:p>
            <w:pPr>
              <w:spacing w:after="40" w:line="259" w:lineRule="auto"/>
            </w:pPr>
            <w:r>
              <w:rPr>
                <w:sz w:val="18"/>
              </w:rPr>
              <w:t>10</w:t>
            </w:r>
          </w:p>
        </w:tc>
        <w:tc>
          <w:tcPr>
            <w:tcW w:type="dxa" w:w="8504"/>
            <w:vAlign w:val="center"/>
          </w:tcPr>
          <w:p>
            <w:pPr>
              <w:spacing w:after="40" w:line="259" w:lineRule="auto"/>
            </w:pPr>
            <w:r>
              <w:rPr>
                <w:sz w:val="18"/>
              </w:rPr>
              <w:t>Adaptive calculated search scores candidate units or answer fragments.</w:t>
            </w:r>
          </w:p>
        </w:tc>
      </w:tr>
      <w:tr>
        <w:tc>
          <w:tcPr>
            <w:tcW w:type="dxa" w:w="680"/>
            <w:vAlign w:val="center"/>
          </w:tcPr>
          <w:p>
            <w:pPr>
              <w:spacing w:after="40" w:line="259" w:lineRule="auto"/>
            </w:pPr>
            <w:r>
              <w:rPr>
                <w:sz w:val="18"/>
              </w:rPr>
              <w:t>11</w:t>
            </w:r>
          </w:p>
        </w:tc>
        <w:tc>
          <w:tcPr>
            <w:tcW w:type="dxa" w:w="8504"/>
            <w:vAlign w:val="center"/>
          </w:tcPr>
          <w:p>
            <w:pPr>
              <w:spacing w:after="40" w:line="259" w:lineRule="auto"/>
            </w:pPr>
            <w:r>
              <w:rPr>
                <w:sz w:val="18"/>
              </w:rPr>
              <w:t>Local candidate routing narrows the active set while retaining an escape mechanism.</w:t>
            </w:r>
          </w:p>
        </w:tc>
      </w:tr>
      <w:tr>
        <w:tc>
          <w:tcPr>
            <w:tcW w:type="dxa" w:w="680"/>
            <w:vAlign w:val="center"/>
          </w:tcPr>
          <w:p>
            <w:pPr>
              <w:spacing w:after="40" w:line="259" w:lineRule="auto"/>
            </w:pPr>
            <w:r>
              <w:rPr>
                <w:sz w:val="18"/>
              </w:rPr>
              <w:t>12</w:t>
            </w:r>
          </w:p>
        </w:tc>
        <w:tc>
          <w:tcPr>
            <w:tcW w:type="dxa" w:w="8504"/>
            <w:vAlign w:val="center"/>
          </w:tcPr>
          <w:p>
            <w:pPr>
              <w:spacing w:after="40" w:line="259" w:lineRule="auto"/>
            </w:pPr>
            <w:r>
              <w:rPr>
                <w:sz w:val="18"/>
              </w:rPr>
              <w:t>Fine resolver chooses the exact next unit or answer fragment.</w:t>
            </w:r>
          </w:p>
        </w:tc>
      </w:tr>
      <w:tr>
        <w:tc>
          <w:tcPr>
            <w:tcW w:type="dxa" w:w="680"/>
            <w:vAlign w:val="center"/>
          </w:tcPr>
          <w:p>
            <w:pPr>
              <w:spacing w:after="40" w:line="259" w:lineRule="auto"/>
            </w:pPr>
            <w:r>
              <w:rPr>
                <w:sz w:val="18"/>
              </w:rPr>
              <w:t>13</w:t>
            </w:r>
          </w:p>
        </w:tc>
        <w:tc>
          <w:tcPr>
            <w:tcW w:type="dxa" w:w="8504"/>
            <w:vAlign w:val="center"/>
          </w:tcPr>
          <w:p>
            <w:pPr>
              <w:spacing w:after="40" w:line="259" w:lineRule="auto"/>
            </w:pPr>
            <w:r>
              <w:rPr>
                <w:sz w:val="18"/>
              </w:rPr>
              <w:t>Output decoder reconstructs surface text.</w:t>
            </w:r>
          </w:p>
        </w:tc>
      </w:tr>
      <w:tr>
        <w:tc>
          <w:tcPr>
            <w:tcW w:type="dxa" w:w="680"/>
            <w:vAlign w:val="center"/>
          </w:tcPr>
          <w:p>
            <w:pPr>
              <w:spacing w:after="40" w:line="259" w:lineRule="auto"/>
            </w:pPr>
            <w:r>
              <w:rPr>
                <w:sz w:val="18"/>
              </w:rPr>
              <w:t>14</w:t>
            </w:r>
          </w:p>
        </w:tc>
        <w:tc>
          <w:tcPr>
            <w:tcW w:type="dxa" w:w="8504"/>
            <w:vAlign w:val="center"/>
          </w:tcPr>
          <w:p>
            <w:pPr>
              <w:spacing w:after="40" w:line="259" w:lineRule="auto"/>
            </w:pPr>
            <w:r>
              <w:rPr>
                <w:sz w:val="18"/>
              </w:rPr>
              <w:t>Feedback, logging, pruning, and memory update occur after response generation.</w:t>
            </w:r>
          </w:p>
        </w:tc>
      </w:tr>
    </w:tbl>
    <w:p/>
    <w:p>
      <w:pPr>
        <w:pStyle w:val="Heading1"/>
      </w:pPr>
      <w:r>
        <w:t>Training and Continual Learning Flow</w:t>
      </w:r>
    </w:p>
    <w:p>
      <w:r>
        <w:t>Training follows the same representational pipeline but with explicit feedback from observed next-unit outcomes. The architecture supports both offline corpus learning and online personalization, provided that update rates are controlled.</w:t>
      </w:r>
    </w:p>
    <w:p>
      <w:pPr>
        <w:pStyle w:val="Heading1"/>
      </w:pPr>
      <w:r>
        <w:t>Consistency and Reproducibility Clarifications</w:t>
      </w:r>
    </w:p>
    <w:p>
      <w:r>
        <w:t>Internal candidate search and external retrieval are treated as distinct mechanisms throughout this document. Internal candidate search refers to Layers 14-16, where the model scores and resolves a pruned local set of learned units. External retrieval refers to Layers 9-13, where the system decides whether to fetch outside evidence from the web and then normalizes, validates, and merges that evidence.</w:t>
      </w:r>
    </w:p>
    <w:p>
      <w:r>
        <w:t>Layer 5 spatial updates are not differentiable backpropagation steps. Instead, Layer 18 accumulates durable feedback signals such as repeated misrouting, neighbor irrelevance, co-activation drift, and prediction-error attribution, then periodically converts those statistics into constrained force-directed map adjustments. In practice, this means the map is updated by energy minimization under stability constraints rather than by token-level gradient flow.</w:t>
      </w:r>
    </w:p>
    <w:p>
      <w:r>
        <w:t>Layer 9 uses a weighted retrieval policy rather than a single hard threshold alone. A useful formalization is to compute a retrieval score S = wH·H + wR·R + wD·D - wC·C, where H is prediction entropy, R is recency sensitivity or freshness need, D is internal disagreement, and C is estimated retrieval cost. External retrieval is triggered when S exceeds a deployment threshold τ, while the simple rule 'entropy &gt; τ1 or recency &gt; τ2' remains a reproducible diagnostic example for ablation and benchmarking.</w:t>
      </w:r>
    </w:p>
    <w:p>
      <w:r>
        <w:t>Layer 14 complexity O(k·d) assumes that k is the post-routing candidate set produced after local pruning by the region index and candidate router, not the size of the full unit memory. When retrieval modules are inactive, evidence support is defined as zero and the scorer reduces cleanly to internal signals only, preserving the same interface across MVP and full-system deployments.</w:t>
      </w:r>
    </w:p>
    <w:p>
      <w:r>
        <w:t>Anchor protection is implemented through explicit heuristics for reproducibility: a unit is protected when it meets one or more of the following conditions for a sustained interval—high salience across multiple turns, repeated user-confirmed reuse, named-entity or identifier status, task-critical dependency in successful reasoning traces, or repeated retrieval corroboration across independent sessions. Protected anchors are exempt from ordinary pruning and are archived rather than deleted if demoted.</w:t>
      </w:r>
    </w:p>
    <w:p>
      <w:r>
        <w:t>Training and runtime feedback are symmetric in representation but asymmetric in commitment. Layers may collect local online statistics during inference, but Layer 18 is the orchestration point that decides which observations become durable updates to memory, routing policy, map structure, pruning state, and retrieval gating thresholds. Retrieval gating itself learns from outcomes through counterfactual logging: when retrieval is triggered, the system measures improvement in answer quality and calibration; when retrieval is skipped, sampled audits estimate whether omission caused avoidable error.</w:t>
      </w:r>
    </w:p>
    <w:p>
      <w:r>
        <w:t>The memory growth target of less than 1 MB per day should be interpreted under a bounded personal-workload assumption of roughly 200 user queries per day, retrieval on no more than about 20% of queries, periodic compaction during idle windows, aggressive low-utility pruning, and promotion of external content to durable memory only after corroboration or repeated reuse.</w:t>
      </w:r>
    </w:p>
    <w:p>
      <w:pPr/>
      <w:r>
        <w:t>Layer 5 spatial updates are supervised indirectly rather than through backpropagation. Layer 18 converts accumulated prediction-error statistics, co-activation counts, neighbor disagreement, and anchor-preservation constraints into bounded edge-strength and position proposals, after which the force-directed optimizer performs a constrained energy-minimization pass to reposition units without breaking stable neighborhoods.</w:t>
      </w:r>
    </w:p>
    <w:p>
      <w:pPr/>
      <w:r>
        <w:t>Retrieval-gating learning is outcome-driven. When retrieval is triggered, Layer 18 compares downstream evidence utility, correction rate, latency cost, and user satisfaction proxies against matched no-retrieval traces. These signals update the gating policy so future retrieval becomes more selective in domains where internal memory is reliable and more aggressive where freshness or contradiction risk remains high.</w:t>
      </w:r>
    </w:p>
    <w:tbl>
      <w:tblPr>
        <w:tblStyle w:val="TableGrid"/>
        <w:tblW w:type="auto" w:w="0"/>
        <w:jc w:val="center"/>
        <w:tblLayout w:type="fixed"/>
        <w:tblLook w:firstColumn="1" w:firstRow="1" w:lastColumn="0" w:lastRow="0" w:noHBand="0" w:noVBand="1" w:val="04A0"/>
      </w:tblPr>
      <w:tblGrid>
        <w:gridCol w:w="4986"/>
        <w:gridCol w:w="4986"/>
      </w:tblGrid>
      <w:tr>
        <w:tc>
          <w:tcPr>
            <w:tcW w:type="dxa" w:w="680"/>
            <w:shd w:fill="DCE6F1"/>
            <w:vAlign w:val="center"/>
          </w:tcPr>
          <w:p>
            <w:pPr>
              <w:jc w:val="center"/>
            </w:pPr>
            <w:r>
              <w:rPr>
                <w:b/>
                <w:sz w:val="18"/>
              </w:rPr>
              <w:t>Step</w:t>
            </w:r>
          </w:p>
        </w:tc>
        <w:tc>
          <w:tcPr>
            <w:tcW w:type="dxa" w:w="8504"/>
            <w:shd w:fill="DCE6F1"/>
            <w:vAlign w:val="center"/>
          </w:tcPr>
          <w:p>
            <w:pPr>
              <w:jc w:val="center"/>
            </w:pPr>
            <w:r>
              <w:rPr>
                <w:b/>
                <w:sz w:val="18"/>
              </w:rPr>
              <w:t>Training operation</w:t>
            </w:r>
          </w:p>
        </w:tc>
      </w:tr>
      <w:tr>
        <w:tc>
          <w:tcPr>
            <w:tcW w:type="dxa" w:w="680"/>
            <w:vAlign w:val="center"/>
          </w:tcPr>
          <w:p>
            <w:pPr>
              <w:spacing w:after="40" w:line="259" w:lineRule="auto"/>
            </w:pPr>
            <w:r>
              <w:rPr>
                <w:sz w:val="18"/>
              </w:rPr>
              <w:t>1</w:t>
            </w:r>
          </w:p>
        </w:tc>
        <w:tc>
          <w:tcPr>
            <w:tcW w:type="dxa" w:w="8504"/>
            <w:vAlign w:val="center"/>
          </w:tcPr>
          <w:p>
            <w:pPr>
              <w:spacing w:after="40" w:line="259" w:lineRule="auto"/>
            </w:pPr>
            <w:r>
              <w:rPr>
                <w:sz w:val="18"/>
              </w:rPr>
              <w:t>Raw corpus text is ingested without fixed token boundaries.</w:t>
            </w:r>
          </w:p>
        </w:tc>
      </w:tr>
      <w:tr>
        <w:tc>
          <w:tcPr>
            <w:tcW w:type="dxa" w:w="680"/>
            <w:vAlign w:val="center"/>
          </w:tcPr>
          <w:p>
            <w:pPr>
              <w:spacing w:after="40" w:line="259" w:lineRule="auto"/>
            </w:pPr>
            <w:r>
              <w:rPr>
                <w:sz w:val="18"/>
              </w:rPr>
              <w:t>2</w:t>
            </w:r>
          </w:p>
        </w:tc>
        <w:tc>
          <w:tcPr>
            <w:tcW w:type="dxa" w:w="8504"/>
            <w:vAlign w:val="center"/>
          </w:tcPr>
          <w:p>
            <w:pPr>
              <w:spacing w:after="40" w:line="259" w:lineRule="auto"/>
            </w:pPr>
            <w:r>
              <w:rPr>
                <w:sz w:val="18"/>
              </w:rPr>
              <w:t>Units are built, refined, merged, or pruned according to frequency and utility.</w:t>
            </w:r>
          </w:p>
        </w:tc>
      </w:tr>
      <w:tr>
        <w:tc>
          <w:tcPr>
            <w:tcW w:type="dxa" w:w="680"/>
            <w:vAlign w:val="center"/>
          </w:tcPr>
          <w:p>
            <w:pPr>
              <w:spacing w:after="40" w:line="259" w:lineRule="auto"/>
            </w:pPr>
            <w:r>
              <w:rPr>
                <w:sz w:val="18"/>
              </w:rPr>
              <w:t>3</w:t>
            </w:r>
          </w:p>
        </w:tc>
        <w:tc>
          <w:tcPr>
            <w:tcW w:type="dxa" w:w="8504"/>
            <w:vAlign w:val="center"/>
          </w:tcPr>
          <w:p>
            <w:pPr>
              <w:spacing w:after="40" w:line="259" w:lineRule="auto"/>
            </w:pPr>
            <w:r>
              <w:rPr>
                <w:sz w:val="18"/>
              </w:rPr>
              <w:t>Units are placed and reorganized within the 3D map and region index.</w:t>
            </w:r>
          </w:p>
        </w:tc>
      </w:tr>
      <w:tr>
        <w:tc>
          <w:tcPr>
            <w:tcW w:type="dxa" w:w="680"/>
            <w:vAlign w:val="center"/>
          </w:tcPr>
          <w:p>
            <w:pPr>
              <w:spacing w:after="40" w:line="259" w:lineRule="auto"/>
            </w:pPr>
            <w:r>
              <w:rPr>
                <w:sz w:val="18"/>
              </w:rPr>
              <w:t>4</w:t>
            </w:r>
          </w:p>
        </w:tc>
        <w:tc>
          <w:tcPr>
            <w:tcW w:type="dxa" w:w="8504"/>
            <w:vAlign w:val="center"/>
          </w:tcPr>
          <w:p>
            <w:pPr>
              <w:spacing w:after="40" w:line="259" w:lineRule="auto"/>
            </w:pPr>
            <w:r>
              <w:rPr>
                <w:sz w:val="18"/>
              </w:rPr>
              <w:t>Context and sequence/anchor state are formed for each training step.</w:t>
            </w:r>
          </w:p>
        </w:tc>
      </w:tr>
      <w:tr>
        <w:tc>
          <w:tcPr>
            <w:tcW w:type="dxa" w:w="680"/>
            <w:vAlign w:val="center"/>
          </w:tcPr>
          <w:p>
            <w:pPr>
              <w:spacing w:after="40" w:line="259" w:lineRule="auto"/>
            </w:pPr>
            <w:r>
              <w:rPr>
                <w:sz w:val="18"/>
              </w:rPr>
              <w:t>5</w:t>
            </w:r>
          </w:p>
        </w:tc>
        <w:tc>
          <w:tcPr>
            <w:tcW w:type="dxa" w:w="8504"/>
            <w:vAlign w:val="center"/>
          </w:tcPr>
          <w:p>
            <w:pPr>
              <w:spacing w:after="40" w:line="259" w:lineRule="auto"/>
            </w:pPr>
            <w:r>
              <w:rPr>
                <w:sz w:val="18"/>
              </w:rPr>
              <w:t>The system predicts the next unit from the current routed state.</w:t>
            </w:r>
          </w:p>
        </w:tc>
      </w:tr>
      <w:tr>
        <w:tc>
          <w:tcPr>
            <w:tcW w:type="dxa" w:w="680"/>
            <w:vAlign w:val="center"/>
          </w:tcPr>
          <w:p>
            <w:pPr>
              <w:spacing w:after="40" w:line="259" w:lineRule="auto"/>
            </w:pPr>
            <w:r>
              <w:rPr>
                <w:sz w:val="18"/>
              </w:rPr>
              <w:t>6</w:t>
            </w:r>
          </w:p>
        </w:tc>
        <w:tc>
          <w:tcPr>
            <w:tcW w:type="dxa" w:w="8504"/>
            <w:vAlign w:val="center"/>
          </w:tcPr>
          <w:p>
            <w:pPr>
              <w:spacing w:after="40" w:line="259" w:lineRule="auto"/>
            </w:pPr>
            <w:r>
              <w:rPr>
                <w:sz w:val="18"/>
              </w:rPr>
              <w:t>The actual next unit is compared to the predicted outcome.</w:t>
            </w:r>
          </w:p>
        </w:tc>
      </w:tr>
      <w:tr>
        <w:tc>
          <w:tcPr>
            <w:tcW w:type="dxa" w:w="680"/>
            <w:vAlign w:val="center"/>
          </w:tcPr>
          <w:p>
            <w:pPr>
              <w:spacing w:after="40" w:line="259" w:lineRule="auto"/>
            </w:pPr>
            <w:r>
              <w:rPr>
                <w:sz w:val="18"/>
              </w:rPr>
              <w:t>7</w:t>
            </w:r>
          </w:p>
        </w:tc>
        <w:tc>
          <w:tcPr>
            <w:tcW w:type="dxa" w:w="8504"/>
            <w:vAlign w:val="center"/>
          </w:tcPr>
          <w:p>
            <w:pPr>
              <w:spacing w:after="40" w:line="259" w:lineRule="auto"/>
            </w:pPr>
            <w:r>
              <w:rPr>
                <w:sz w:val="18"/>
              </w:rPr>
              <w:t>Layer-specific feedback updates utility, links, map positions, region structure, scoring weights, and resolver policies.</w:t>
            </w:r>
          </w:p>
        </w:tc>
      </w:tr>
      <w:tr>
        <w:tc>
          <w:tcPr>
            <w:tcW w:type="dxa" w:w="680"/>
            <w:vAlign w:val="center"/>
          </w:tcPr>
          <w:p>
            <w:pPr>
              <w:spacing w:after="40" w:line="259" w:lineRule="auto"/>
            </w:pPr>
            <w:r>
              <w:rPr>
                <w:sz w:val="18"/>
              </w:rPr>
              <w:t>8</w:t>
            </w:r>
          </w:p>
        </w:tc>
        <w:tc>
          <w:tcPr>
            <w:tcW w:type="dxa" w:w="8504"/>
            <w:vAlign w:val="center"/>
          </w:tcPr>
          <w:p>
            <w:pPr>
              <w:spacing w:after="40" w:line="259" w:lineRule="auto"/>
            </w:pPr>
            <w:r>
              <w:rPr>
                <w:sz w:val="18"/>
              </w:rPr>
              <w:t>When retrieval is involved, the system records whether external search improved quality or merely added latency/noise.</w:t>
            </w:r>
          </w:p>
        </w:tc>
      </w:tr>
      <w:tr>
        <w:tc>
          <w:tcPr>
            <w:tcW w:type="dxa" w:w="680"/>
            <w:vAlign w:val="center"/>
          </w:tcPr>
          <w:p>
            <w:pPr>
              <w:spacing w:after="40" w:line="259" w:lineRule="auto"/>
            </w:pPr>
            <w:r>
              <w:rPr>
                <w:sz w:val="18"/>
              </w:rPr>
              <w:t>9</w:t>
            </w:r>
          </w:p>
        </w:tc>
        <w:tc>
          <w:tcPr>
            <w:tcW w:type="dxa" w:w="8504"/>
            <w:vAlign w:val="center"/>
          </w:tcPr>
          <w:p>
            <w:pPr>
              <w:spacing w:after="40" w:line="259" w:lineRule="auto"/>
            </w:pPr>
            <w:r>
              <w:rPr>
                <w:sz w:val="18"/>
              </w:rPr>
              <w:t>Stable knowledge slowly consolidates into Core Memory while transient or unconfirmed knowledge remains Episodic and decays if not reinforced.</w:t>
            </w:r>
          </w:p>
        </w:tc>
      </w:tr>
    </w:tbl>
    <w:p/>
    <w:p>
      <w:pPr>
        <w:pStyle w:val="Heading1"/>
      </w:pPr>
      <w:r>
        <w:t>Audience-Specific Reading Guide</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701"/>
            <w:shd w:fill="DCE6F1"/>
            <w:vAlign w:val="center"/>
          </w:tcPr>
          <w:p>
            <w:pPr>
              <w:jc w:val="center"/>
            </w:pPr>
            <w:r>
              <w:rPr>
                <w:b/>
                <w:sz w:val="17"/>
              </w:rPr>
              <w:t>Audience</w:t>
            </w:r>
          </w:p>
        </w:tc>
        <w:tc>
          <w:tcPr>
            <w:tcW w:type="dxa" w:w="2608"/>
            <w:shd w:fill="DCE6F1"/>
            <w:vAlign w:val="center"/>
          </w:tcPr>
          <w:p>
            <w:pPr>
              <w:jc w:val="center"/>
            </w:pPr>
            <w:r>
              <w:rPr>
                <w:b/>
                <w:sz w:val="17"/>
              </w:rPr>
              <w:t>Emphasize</w:t>
            </w:r>
          </w:p>
        </w:tc>
        <w:tc>
          <w:tcPr>
            <w:tcW w:type="dxa" w:w="2324"/>
            <w:shd w:fill="DCE6F1"/>
            <w:vAlign w:val="center"/>
          </w:tcPr>
          <w:p>
            <w:pPr>
              <w:jc w:val="center"/>
            </w:pPr>
            <w:r>
              <w:rPr>
                <w:b/>
                <w:sz w:val="17"/>
              </w:rPr>
              <w:t>De-emphasize</w:t>
            </w:r>
          </w:p>
        </w:tc>
        <w:tc>
          <w:tcPr>
            <w:tcW w:type="dxa" w:w="2438"/>
            <w:shd w:fill="DCE6F1"/>
            <w:vAlign w:val="center"/>
          </w:tcPr>
          <w:p>
            <w:pPr>
              <w:jc w:val="center"/>
            </w:pPr>
            <w:r>
              <w:rPr>
                <w:b/>
                <w:sz w:val="17"/>
              </w:rPr>
              <w:t>Recommended presentation format</w:t>
            </w:r>
          </w:p>
        </w:tc>
      </w:tr>
      <w:tr>
        <w:tc>
          <w:tcPr>
            <w:tcW w:type="dxa" w:w="1701"/>
            <w:vAlign w:val="center"/>
          </w:tcPr>
          <w:p>
            <w:pPr>
              <w:spacing w:after="40" w:line="259" w:lineRule="auto"/>
            </w:pPr>
            <w:r>
              <w:rPr>
                <w:sz w:val="17"/>
              </w:rPr>
              <w:t>Academic reviewers</w:t>
            </w:r>
          </w:p>
        </w:tc>
        <w:tc>
          <w:tcPr>
            <w:tcW w:type="dxa" w:w="2608"/>
            <w:vAlign w:val="center"/>
          </w:tcPr>
          <w:p>
            <w:pPr>
              <w:spacing w:after="40" w:line="259" w:lineRule="auto"/>
            </w:pPr>
            <w:r>
              <w:rPr>
                <w:sz w:val="17"/>
              </w:rPr>
              <w:t>Novelty relative to transformers, methodological clarity, ablation design, complexity notes, reproducibility thresholds.</w:t>
            </w:r>
          </w:p>
        </w:tc>
        <w:tc>
          <w:tcPr>
            <w:tcW w:type="dxa" w:w="2324"/>
            <w:vAlign w:val="center"/>
          </w:tcPr>
          <w:p>
            <w:pPr>
              <w:spacing w:after="40" w:line="259" w:lineRule="auto"/>
            </w:pPr>
            <w:r>
              <w:rPr>
                <w:sz w:val="17"/>
              </w:rPr>
              <w:t>Implementation minutiae such as exact service wrappers or UI packaging details.</w:t>
            </w:r>
          </w:p>
        </w:tc>
        <w:tc>
          <w:tcPr>
            <w:tcW w:type="dxa" w:w="2438"/>
            <w:vAlign w:val="center"/>
          </w:tcPr>
          <w:p>
            <w:pPr>
              <w:spacing w:after="40" w:line="259" w:lineRule="auto"/>
            </w:pPr>
            <w:r>
              <w:rPr>
                <w:sz w:val="17"/>
              </w:rPr>
              <w:t>Include architecture diagram, complexity analysis, risk-mitigation table, and explicit threshold examples.</w:t>
            </w:r>
          </w:p>
        </w:tc>
      </w:tr>
      <w:tr>
        <w:tc>
          <w:tcPr>
            <w:tcW w:type="dxa" w:w="1701"/>
            <w:vAlign w:val="center"/>
          </w:tcPr>
          <w:p>
            <w:pPr>
              <w:spacing w:after="40" w:line="259" w:lineRule="auto"/>
            </w:pPr>
            <w:r>
              <w:rPr>
                <w:sz w:val="17"/>
              </w:rPr>
              <w:t>Engineering teams</w:t>
            </w:r>
          </w:p>
        </w:tc>
        <w:tc>
          <w:tcPr>
            <w:tcW w:type="dxa" w:w="2608"/>
            <w:vAlign w:val="center"/>
          </w:tcPr>
          <w:p>
            <w:pPr>
              <w:spacing w:after="40" w:line="259" w:lineRule="auto"/>
            </w:pPr>
            <w:r>
              <w:rPr>
                <w:sz w:val="17"/>
              </w:rPr>
              <w:t>CPU/memory budgets, modular interfaces, async retrieval behavior, maintenance jobs, observability hooks.</w:t>
            </w:r>
          </w:p>
        </w:tc>
        <w:tc>
          <w:tcPr>
            <w:tcW w:type="dxa" w:w="2324"/>
            <w:vAlign w:val="center"/>
          </w:tcPr>
          <w:p>
            <w:pPr>
              <w:spacing w:after="40" w:line="259" w:lineRule="auto"/>
            </w:pPr>
            <w:r>
              <w:rPr>
                <w:sz w:val="17"/>
              </w:rPr>
              <w:t>Abstract semantic philosophy beyond what is needed for implementation.</w:t>
            </w:r>
          </w:p>
        </w:tc>
        <w:tc>
          <w:tcPr>
            <w:tcW w:type="dxa" w:w="2438"/>
            <w:vAlign w:val="center"/>
          </w:tcPr>
          <w:p>
            <w:pPr>
              <w:spacing w:after="40" w:line="259" w:lineRule="auto"/>
            </w:pPr>
            <w:r>
              <w:rPr>
                <w:sz w:val="17"/>
              </w:rPr>
              <w:t>Provide API stubs, latency budget assumptions, state transition sequence, and failure handling notes.</w:t>
            </w:r>
          </w:p>
        </w:tc>
      </w:tr>
      <w:tr>
        <w:tc>
          <w:tcPr>
            <w:tcW w:type="dxa" w:w="1701"/>
            <w:vAlign w:val="center"/>
          </w:tcPr>
          <w:p>
            <w:pPr>
              <w:spacing w:after="40" w:line="259" w:lineRule="auto"/>
            </w:pPr>
            <w:r>
              <w:rPr>
                <w:sz w:val="17"/>
              </w:rPr>
              <w:t>Product stakeholders</w:t>
            </w:r>
          </w:p>
        </w:tc>
        <w:tc>
          <w:tcPr>
            <w:tcW w:type="dxa" w:w="2608"/>
            <w:vAlign w:val="center"/>
          </w:tcPr>
          <w:p>
            <w:pPr>
              <w:spacing w:after="40" w:line="259" w:lineRule="auto"/>
            </w:pPr>
            <w:r>
              <w:rPr>
                <w:sz w:val="17"/>
              </w:rPr>
              <w:t>Personalization value, privacy safeguards, optional offline behavior, trust-aware retrieval, stability over time.</w:t>
            </w:r>
          </w:p>
        </w:tc>
        <w:tc>
          <w:tcPr>
            <w:tcW w:type="dxa" w:w="2324"/>
            <w:vAlign w:val="center"/>
          </w:tcPr>
          <w:p>
            <w:pPr>
              <w:spacing w:after="40" w:line="259" w:lineRule="auto"/>
            </w:pPr>
            <w:r>
              <w:rPr>
                <w:sz w:val="17"/>
              </w:rPr>
              <w:t>Detailed optimization math for map layout or search scoring.</w:t>
            </w:r>
          </w:p>
        </w:tc>
        <w:tc>
          <w:tcPr>
            <w:tcW w:type="dxa" w:w="2438"/>
            <w:vAlign w:val="center"/>
          </w:tcPr>
          <w:p>
            <w:pPr>
              <w:spacing w:after="40" w:line="259" w:lineRule="auto"/>
            </w:pPr>
            <w:r>
              <w:rPr>
                <w:sz w:val="17"/>
              </w:rPr>
              <w:t>Frame benefits through user journeys, speed/privacy tradeoffs, and differentiated capability.</w:t>
            </w:r>
          </w:p>
        </w:tc>
      </w:tr>
      <w:tr>
        <w:tc>
          <w:tcPr>
            <w:tcW w:type="dxa" w:w="1701"/>
            <w:vAlign w:val="center"/>
          </w:tcPr>
          <w:p>
            <w:pPr>
              <w:spacing w:after="40" w:line="259" w:lineRule="auto"/>
            </w:pPr>
            <w:r>
              <w:rPr>
                <w:sz w:val="17"/>
              </w:rPr>
              <w:t>Open-source community</w:t>
            </w:r>
          </w:p>
        </w:tc>
        <w:tc>
          <w:tcPr>
            <w:tcW w:type="dxa" w:w="2608"/>
            <w:vAlign w:val="center"/>
          </w:tcPr>
          <w:p>
            <w:pPr>
              <w:spacing w:after="40" w:line="259" w:lineRule="auto"/>
            </w:pPr>
            <w:r>
              <w:rPr>
                <w:sz w:val="17"/>
              </w:rPr>
              <w:t>Layer modularity, extension points, MVP sequencing, plugin hooks, testability, contribution surface.</w:t>
            </w:r>
          </w:p>
        </w:tc>
        <w:tc>
          <w:tcPr>
            <w:tcW w:type="dxa" w:w="2324"/>
            <w:vAlign w:val="center"/>
          </w:tcPr>
          <w:p>
            <w:pPr>
              <w:spacing w:after="40" w:line="259" w:lineRule="auto"/>
            </w:pPr>
            <w:r>
              <w:rPr>
                <w:sz w:val="17"/>
              </w:rPr>
              <w:t>Proprietary connector implementations or closed-source trust lists.</w:t>
            </w:r>
          </w:p>
        </w:tc>
        <w:tc>
          <w:tcPr>
            <w:tcW w:type="dxa" w:w="2438"/>
            <w:vAlign w:val="center"/>
          </w:tcPr>
          <w:p>
            <w:pPr>
              <w:spacing w:after="40" w:line="259" w:lineRule="auto"/>
            </w:pPr>
            <w:r>
              <w:rPr>
                <w:sz w:val="17"/>
              </w:rPr>
              <w:t>Release Layers 1-8 as a core MVP with documented interfaces for retrieval, evaluation, and memory governance plugins.</w:t>
            </w:r>
          </w:p>
        </w:tc>
      </w:tr>
    </w:tbl>
    <w:p/>
    <w:p>
      <w:pPr>
        <w:pStyle w:val="Heading2"/>
      </w:pPr>
      <w:r>
        <w:t>Audience-Specific Interpretation</w:t>
      </w:r>
    </w:p>
    <w:p>
      <w:r>
        <w:t>For academic readers, the central contribution is not merely a list of modules but a different computational stance: language prediction is formulated as structured local search over adaptive units embedded in a semantic routing space, with retrieval gated by uncertainty rather than attached as a post hoc patch.</w:t>
      </w:r>
    </w:p>
    <w:p>
      <w:r>
        <w:t>For engineers, the architecture should be read as a modular system with clear boundaries: unit construction, routing, state maintenance, retrieval gating, evidence merge, candidate scoring, and lifecycle management can all be implemented and profiled separately.</w:t>
      </w:r>
    </w:p>
    <w:p>
      <w:r>
        <w:t>For product stakeholders, the relevant message is that the design aims to achieve personalization, responsiveness, and freshness without requiring the entire product to depend on heavyweight cloud-only inference. The dual-memory and optional-search structure is directly aligned with privacy-sensitive and edge-capable product strategies.</w:t>
      </w:r>
    </w:p>
    <w:p>
      <w:r>
        <w:t>Phase 1: implement Layers 1-8 and 14-17 to produce an internal-only predictive loop, with Adaptive Calculated Search using spatial fit, context fit, sequence fit, learned transitions, utility, and confidence terms only. In this MVP stage, evidence support is defined as zero because external retrieval modules are not yet active. This phase exercises internal candidate search without external retrieval.</w:t>
      </w:r>
    </w:p>
    <w:p>
      <w:pPr>
        <w:pStyle w:val="Heading1"/>
      </w:pPr>
      <w:r>
        <w:t>Engineering Challenges, Mitigations, and Validation Metrics</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587"/>
            <w:shd w:fill="DCE6F1"/>
            <w:vAlign w:val="center"/>
          </w:tcPr>
          <w:p>
            <w:pPr>
              <w:jc w:val="center"/>
            </w:pPr>
            <w:r>
              <w:rPr>
                <w:b/>
                <w:sz w:val="17"/>
              </w:rPr>
              <w:t>Challenge</w:t>
            </w:r>
          </w:p>
        </w:tc>
        <w:tc>
          <w:tcPr>
            <w:tcW w:type="dxa" w:w="2494"/>
            <w:shd w:fill="DCE6F1"/>
            <w:vAlign w:val="center"/>
          </w:tcPr>
          <w:p>
            <w:pPr>
              <w:jc w:val="center"/>
            </w:pPr>
            <w:r>
              <w:rPr>
                <w:b/>
                <w:sz w:val="17"/>
              </w:rPr>
              <w:t>Description</w:t>
            </w:r>
          </w:p>
        </w:tc>
        <w:tc>
          <w:tcPr>
            <w:tcW w:type="dxa" w:w="3061"/>
            <w:shd w:fill="DCE6F1"/>
            <w:vAlign w:val="center"/>
          </w:tcPr>
          <w:p>
            <w:pPr>
              <w:jc w:val="center"/>
            </w:pPr>
            <w:r>
              <w:rPr>
                <w:b/>
                <w:sz w:val="17"/>
              </w:rPr>
              <w:t>Recommended technical approach</w:t>
            </w:r>
          </w:p>
        </w:tc>
        <w:tc>
          <w:tcPr>
            <w:tcW w:type="dxa" w:w="1928"/>
            <w:shd w:fill="DCE6F1"/>
            <w:vAlign w:val="center"/>
          </w:tcPr>
          <w:p>
            <w:pPr>
              <w:jc w:val="center"/>
            </w:pPr>
            <w:r>
              <w:rPr>
                <w:b/>
                <w:sz w:val="17"/>
              </w:rPr>
              <w:t>Validation metric</w:t>
            </w:r>
          </w:p>
        </w:tc>
      </w:tr>
      <w:tr>
        <w:tc>
          <w:tcPr>
            <w:tcW w:type="dxa" w:w="1587"/>
            <w:vAlign w:val="center"/>
          </w:tcPr>
          <w:p>
            <w:pPr>
              <w:spacing w:after="40" w:line="259" w:lineRule="auto"/>
            </w:pPr>
            <w:r>
              <w:rPr>
                <w:sz w:val="17"/>
              </w:rPr>
              <w:t>3D Map Optimization</w:t>
            </w:r>
          </w:p>
        </w:tc>
        <w:tc>
          <w:tcPr>
            <w:tcW w:type="dxa" w:w="2494"/>
            <w:vAlign w:val="center"/>
          </w:tcPr>
          <w:p>
            <w:pPr>
              <w:spacing w:after="40" w:line="259" w:lineRule="auto"/>
            </w:pPr>
            <w:r>
              <w:rPr>
                <w:sz w:val="17"/>
              </w:rPr>
              <w:t>Moving units in 3D space without breaking existing links is mathematically complex.</w:t>
            </w:r>
          </w:p>
        </w:tc>
        <w:tc>
          <w:tcPr>
            <w:tcW w:type="dxa" w:w="3061"/>
            <w:vAlign w:val="center"/>
          </w:tcPr>
          <w:p>
            <w:r>
              <w:t>Use force-directed graph energy minimization for position updates rather than pure gradient descent.</w:t>
            </w:r>
          </w:p>
        </w:tc>
        <w:tc>
          <w:tcPr>
            <w:tcW w:type="dxa" w:w="1928"/>
            <w:vAlign w:val="center"/>
          </w:tcPr>
          <w:p>
            <w:pPr>
              <w:spacing w:after="40" w:line="259" w:lineRule="auto"/>
            </w:pPr>
            <w:r>
              <w:rPr>
                <w:sz w:val="17"/>
              </w:rPr>
              <w:t>Neighbor relevance, routing stability, and link preservation under re-indexing.</w:t>
            </w:r>
          </w:p>
        </w:tc>
      </w:tr>
      <w:tr>
        <w:tc>
          <w:tcPr>
            <w:tcW w:type="dxa" w:w="1587"/>
            <w:vAlign w:val="center"/>
          </w:tcPr>
          <w:p>
            <w:pPr>
              <w:spacing w:after="40" w:line="259" w:lineRule="auto"/>
            </w:pPr>
            <w:r>
              <w:rPr>
                <w:sz w:val="17"/>
              </w:rPr>
              <w:t>Intent Detector Precision</w:t>
            </w:r>
          </w:p>
        </w:tc>
        <w:tc>
          <w:tcPr>
            <w:tcW w:type="dxa" w:w="2494"/>
            <w:vAlign w:val="center"/>
          </w:tcPr>
          <w:p>
            <w:pPr>
              <w:spacing w:after="40" w:line="259" w:lineRule="auto"/>
            </w:pPr>
            <w:r>
              <w:rPr>
                <w:sz w:val="17"/>
              </w:rPr>
              <w:t>If this detector fails, the system either searches too much and becomes slow or searches too little and hallucinates.</w:t>
            </w:r>
          </w:p>
        </w:tc>
        <w:tc>
          <w:tcPr>
            <w:tcW w:type="dxa" w:w="3061"/>
            <w:vAlign w:val="center"/>
          </w:tcPr>
          <w:p>
            <w:pPr>
              <w:spacing w:after="40" w:line="259" w:lineRule="auto"/>
            </w:pPr>
            <w:r>
              <w:rPr>
                <w:sz w:val="17"/>
              </w:rPr>
              <w:t>Train a lightweight classifier on prediction entropy and query recency; high entropy strongly increases search probability.</w:t>
            </w:r>
          </w:p>
        </w:tc>
        <w:tc>
          <w:tcPr>
            <w:tcW w:type="dxa" w:w="1928"/>
            <w:vAlign w:val="center"/>
          </w:tcPr>
          <w:p>
            <w:pPr>
              <w:spacing w:after="40" w:line="259" w:lineRule="auto"/>
            </w:pPr>
            <w:r>
              <w:rPr>
                <w:sz w:val="17"/>
              </w:rPr>
              <w:t>Search trigger precision/recall on a labeled query set.</w:t>
            </w:r>
          </w:p>
        </w:tc>
      </w:tr>
      <w:tr>
        <w:tc>
          <w:tcPr>
            <w:tcW w:type="dxa" w:w="1587"/>
            <w:vAlign w:val="center"/>
          </w:tcPr>
          <w:p>
            <w:pPr>
              <w:spacing w:after="40" w:line="259" w:lineRule="auto"/>
            </w:pPr>
            <w:r>
              <w:rPr>
                <w:sz w:val="17"/>
              </w:rPr>
              <w:t>Unit Pruning Logic</w:t>
            </w:r>
          </w:p>
        </w:tc>
        <w:tc>
          <w:tcPr>
            <w:tcW w:type="dxa" w:w="2494"/>
            <w:vAlign w:val="center"/>
          </w:tcPr>
          <w:p>
            <w:pPr>
              <w:spacing w:after="40" w:line="259" w:lineRule="auto"/>
            </w:pPr>
            <w:r>
              <w:rPr>
                <w:sz w:val="17"/>
              </w:rPr>
              <w:t>Deciding what to archive versus delete can remove rare but critical information.</w:t>
            </w:r>
          </w:p>
        </w:tc>
        <w:tc>
          <w:tcPr>
            <w:tcW w:type="dxa" w:w="3061"/>
            <w:vAlign w:val="center"/>
          </w:tcPr>
          <w:p>
            <w:pPr>
              <w:spacing w:after="40" w:line="259" w:lineRule="auto"/>
            </w:pPr>
            <w:r>
              <w:rPr>
                <w:sz w:val="17"/>
              </w:rPr>
              <w:t>Use LFU plus recency decay while preserving anchor units regardless of frequency.</w:t>
            </w:r>
          </w:p>
        </w:tc>
        <w:tc>
          <w:tcPr>
            <w:tcW w:type="dxa" w:w="1928"/>
            <w:vAlign w:val="center"/>
          </w:tcPr>
          <w:p>
            <w:pPr>
              <w:spacing w:after="40" w:line="259" w:lineRule="auto"/>
            </w:pPr>
            <w:r>
              <w:rPr>
                <w:sz w:val="17"/>
              </w:rPr>
              <w:t>Retention of rare anchor facts after long-run pruning.</w:t>
            </w:r>
          </w:p>
        </w:tc>
      </w:tr>
      <w:tr>
        <w:tc>
          <w:tcPr>
            <w:tcW w:type="dxa" w:w="1587"/>
            <w:vAlign w:val="center"/>
          </w:tcPr>
          <w:p>
            <w:pPr>
              <w:spacing w:after="40" w:line="259" w:lineRule="auto"/>
            </w:pPr>
            <w:r>
              <w:rPr>
                <w:sz w:val="17"/>
              </w:rPr>
              <w:t>Concurrency</w:t>
            </w:r>
          </w:p>
        </w:tc>
        <w:tc>
          <w:tcPr>
            <w:tcW w:type="dxa" w:w="2494"/>
            <w:vAlign w:val="center"/>
          </w:tcPr>
          <w:p>
            <w:pPr>
              <w:spacing w:after="40" w:line="259" w:lineRule="auto"/>
            </w:pPr>
            <w:r>
              <w:rPr>
                <w:sz w:val="17"/>
              </w:rPr>
              <w:t>Retrieval is asynchronous while generation is largely synchronous.</w:t>
            </w:r>
          </w:p>
        </w:tc>
        <w:tc>
          <w:tcPr>
            <w:tcW w:type="dxa" w:w="3061"/>
            <w:vAlign w:val="center"/>
          </w:tcPr>
          <w:p>
            <w:pPr>
              <w:spacing w:after="40" w:line="259" w:lineRule="auto"/>
            </w:pPr>
            <w:r>
              <w:rPr>
                <w:sz w:val="17"/>
              </w:rPr>
              <w:t>Use an internal async pipeline so retrieval can proceed in parallel with pre-resolution work and evidence merge staging.</w:t>
            </w:r>
          </w:p>
        </w:tc>
        <w:tc>
          <w:tcPr>
            <w:tcW w:type="dxa" w:w="1928"/>
            <w:vAlign w:val="center"/>
          </w:tcPr>
          <w:p>
            <w:pPr>
              <w:spacing w:after="40" w:line="259" w:lineRule="auto"/>
            </w:pPr>
            <w:r>
              <w:rPr>
                <w:sz w:val="17"/>
              </w:rPr>
              <w:t>Latency reduction under retrieval workloads; timeout behavior.</w:t>
            </w:r>
          </w:p>
        </w:tc>
      </w:tr>
      <w:tr>
        <w:tc>
          <w:tcPr>
            <w:tcW w:type="dxa" w:w="1587"/>
            <w:vAlign w:val="center"/>
          </w:tcPr>
          <w:p>
            <w:pPr>
              <w:spacing w:after="40" w:line="259" w:lineRule="auto"/>
            </w:pPr>
            <w:r>
              <w:rPr>
                <w:sz w:val="17"/>
              </w:rPr>
              <w:t>Memory Fragmentation</w:t>
            </w:r>
          </w:p>
        </w:tc>
        <w:tc>
          <w:tcPr>
            <w:tcW w:type="dxa" w:w="2494"/>
            <w:vAlign w:val="center"/>
          </w:tcPr>
          <w:p>
            <w:pPr>
              <w:spacing w:after="40" w:line="259" w:lineRule="auto"/>
            </w:pPr>
            <w:r>
              <w:rPr>
                <w:sz w:val="17"/>
              </w:rPr>
              <w:t>Dual memory stores can fragment over long operational lifetimes.</w:t>
            </w:r>
          </w:p>
        </w:tc>
        <w:tc>
          <w:tcPr>
            <w:tcW w:type="dxa" w:w="3061"/>
            <w:vAlign w:val="center"/>
          </w:tcPr>
          <w:p>
            <w:pPr>
              <w:spacing w:after="40" w:line="259" w:lineRule="auto"/>
            </w:pPr>
            <w:r>
              <w:rPr>
                <w:sz w:val="17"/>
              </w:rPr>
              <w:t>Run background compaction jobs to merge episodic memories into core memory during idle periods.</w:t>
            </w:r>
          </w:p>
        </w:tc>
        <w:tc>
          <w:tcPr>
            <w:tcW w:type="dxa" w:w="1928"/>
            <w:vAlign w:val="center"/>
          </w:tcPr>
          <w:p>
            <w:pPr>
              <w:spacing w:after="40" w:line="259" w:lineRule="auto"/>
            </w:pPr>
            <w:r>
              <w:rPr>
                <w:sz w:val="17"/>
              </w:rPr>
              <w:t>Long-run storage efficiency and lookup-time stability.</w:t>
            </w:r>
          </w:p>
        </w:tc>
      </w:tr>
    </w:tbl>
    <w:p/>
    <w:p>
      <w:pPr>
        <w:pStyle w:val="Heading1"/>
      </w:pPr>
      <w:r>
        <w:t>Suggested Evaluation Metrics</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268"/>
            <w:shd w:fill="DCE6F1"/>
            <w:vAlign w:val="center"/>
          </w:tcPr>
          <w:p>
            <w:pPr>
              <w:jc w:val="center"/>
            </w:pPr>
            <w:r>
              <w:rPr>
                <w:b/>
                <w:sz w:val="17"/>
              </w:rPr>
              <w:t>Metric</w:t>
            </w:r>
          </w:p>
        </w:tc>
        <w:tc>
          <w:tcPr>
            <w:tcW w:type="dxa" w:w="1361"/>
            <w:shd w:fill="DCE6F1"/>
            <w:vAlign w:val="center"/>
          </w:tcPr>
          <w:p>
            <w:pPr>
              <w:jc w:val="center"/>
            </w:pPr>
            <w:r>
              <w:rPr>
                <w:b/>
                <w:sz w:val="17"/>
              </w:rPr>
              <w:t>Layer(s) measured</w:t>
            </w:r>
          </w:p>
        </w:tc>
        <w:tc>
          <w:tcPr>
            <w:tcW w:type="dxa" w:w="2154"/>
            <w:shd w:fill="DCE6F1"/>
            <w:vAlign w:val="center"/>
          </w:tcPr>
          <w:p>
            <w:pPr>
              <w:jc w:val="center"/>
            </w:pPr>
            <w:r>
              <w:rPr>
                <w:b/>
                <w:sz w:val="17"/>
              </w:rPr>
              <w:t>Target</w:t>
            </w:r>
          </w:p>
        </w:tc>
        <w:tc>
          <w:tcPr>
            <w:tcW w:type="dxa" w:w="3402"/>
            <w:shd w:fill="DCE6F1"/>
            <w:vAlign w:val="center"/>
          </w:tcPr>
          <w:p>
            <w:pPr>
              <w:jc w:val="center"/>
            </w:pPr>
            <w:r>
              <w:rPr>
                <w:b/>
                <w:sz w:val="17"/>
              </w:rPr>
              <w:t>Measurement method</w:t>
            </w:r>
          </w:p>
        </w:tc>
      </w:tr>
      <w:tr>
        <w:tc>
          <w:tcPr>
            <w:tcW w:type="dxa" w:w="2268"/>
            <w:vAlign w:val="center"/>
          </w:tcPr>
          <w:p>
            <w:pPr>
              <w:spacing w:after="40" w:line="259" w:lineRule="auto"/>
            </w:pPr>
            <w:r>
              <w:rPr>
                <w:sz w:val="17"/>
              </w:rPr>
              <w:t>Unit Discovery Efficiency</w:t>
            </w:r>
          </w:p>
        </w:tc>
        <w:tc>
          <w:tcPr>
            <w:tcW w:type="dxa" w:w="1361"/>
            <w:vAlign w:val="center"/>
          </w:tcPr>
          <w:p>
            <w:pPr>
              <w:spacing w:after="40" w:line="259" w:lineRule="auto"/>
            </w:pPr>
            <w:r>
              <w:rPr>
                <w:sz w:val="17"/>
              </w:rPr>
              <w:t>2, 3</w:t>
            </w:r>
          </w:p>
        </w:tc>
        <w:tc>
          <w:tcPr>
            <w:tcW w:type="dxa" w:w="2154"/>
            <w:vAlign w:val="center"/>
          </w:tcPr>
          <w:p>
            <w:pPr>
              <w:spacing w:after="40" w:line="259" w:lineRule="auto"/>
            </w:pPr>
            <w:r>
              <w:rPr>
                <w:sz w:val="17"/>
              </w:rPr>
              <w:t>&gt;90% coverage with &lt;10k units</w:t>
            </w:r>
          </w:p>
        </w:tc>
        <w:tc>
          <w:tcPr>
            <w:tcW w:type="dxa" w:w="3402"/>
            <w:vAlign w:val="center"/>
          </w:tcPr>
          <w:p>
            <w:pPr>
              <w:spacing w:after="40" w:line="259" w:lineRule="auto"/>
            </w:pPr>
            <w:r>
              <w:rPr>
                <w:sz w:val="17"/>
              </w:rPr>
              <w:t>Corpus compression ratio / held-out coverage audit</w:t>
            </w:r>
          </w:p>
        </w:tc>
      </w:tr>
      <w:tr>
        <w:tc>
          <w:tcPr>
            <w:tcW w:type="dxa" w:w="2268"/>
            <w:vAlign w:val="center"/>
          </w:tcPr>
          <w:p>
            <w:pPr>
              <w:spacing w:after="40" w:line="259" w:lineRule="auto"/>
            </w:pPr>
            <w:r>
              <w:rPr>
                <w:sz w:val="17"/>
              </w:rPr>
              <w:t>Semantic Routing Accuracy</w:t>
            </w:r>
          </w:p>
        </w:tc>
        <w:tc>
          <w:tcPr>
            <w:tcW w:type="dxa" w:w="1361"/>
            <w:vAlign w:val="center"/>
          </w:tcPr>
          <w:p>
            <w:pPr>
              <w:spacing w:after="40" w:line="259" w:lineRule="auto"/>
            </w:pPr>
            <w:r>
              <w:rPr>
                <w:sz w:val="17"/>
              </w:rPr>
              <w:t>5, 6</w:t>
            </w:r>
          </w:p>
        </w:tc>
        <w:tc>
          <w:tcPr>
            <w:tcW w:type="dxa" w:w="2154"/>
            <w:vAlign w:val="center"/>
          </w:tcPr>
          <w:p>
            <w:pPr>
              <w:spacing w:after="40" w:line="259" w:lineRule="auto"/>
            </w:pPr>
            <w:r>
              <w:rPr>
                <w:sz w:val="17"/>
              </w:rPr>
              <w:t>&gt;85% neighbor relevance</w:t>
            </w:r>
          </w:p>
        </w:tc>
        <w:tc>
          <w:tcPr>
            <w:tcW w:type="dxa" w:w="3402"/>
            <w:vAlign w:val="center"/>
          </w:tcPr>
          <w:p>
            <w:pPr>
              <w:spacing w:after="40" w:line="259" w:lineRule="auto"/>
            </w:pPr>
            <w:r>
              <w:rPr>
                <w:sz w:val="17"/>
              </w:rPr>
              <w:t>Cluster purity / neighbor relevance benchmark</w:t>
            </w:r>
          </w:p>
        </w:tc>
      </w:tr>
      <w:tr>
        <w:tc>
          <w:tcPr>
            <w:tcW w:type="dxa" w:w="2268"/>
            <w:vAlign w:val="center"/>
          </w:tcPr>
          <w:p>
            <w:pPr>
              <w:spacing w:after="40" w:line="259" w:lineRule="auto"/>
            </w:pPr>
            <w:r>
              <w:rPr>
                <w:sz w:val="17"/>
              </w:rPr>
              <w:t>Search Trigger Precision</w:t>
            </w:r>
          </w:p>
        </w:tc>
        <w:tc>
          <w:tcPr>
            <w:tcW w:type="dxa" w:w="1361"/>
            <w:vAlign w:val="center"/>
          </w:tcPr>
          <w:p>
            <w:pPr>
              <w:spacing w:after="40" w:line="259" w:lineRule="auto"/>
            </w:pPr>
            <w:r>
              <w:rPr>
                <w:sz w:val="17"/>
              </w:rPr>
              <w:t>9</w:t>
            </w:r>
          </w:p>
        </w:tc>
        <w:tc>
          <w:tcPr>
            <w:tcW w:type="dxa" w:w="2154"/>
            <w:vAlign w:val="center"/>
          </w:tcPr>
          <w:p>
            <w:pPr>
              <w:spacing w:after="40" w:line="259" w:lineRule="auto"/>
            </w:pPr>
            <w:r>
              <w:rPr>
                <w:sz w:val="17"/>
              </w:rPr>
              <w:t>&gt;90% correct decisions</w:t>
            </w:r>
          </w:p>
        </w:tc>
        <w:tc>
          <w:tcPr>
            <w:tcW w:type="dxa" w:w="3402"/>
            <w:vAlign w:val="center"/>
          </w:tcPr>
          <w:p>
            <w:pPr>
              <w:spacing w:after="40" w:line="259" w:lineRule="auto"/>
            </w:pPr>
            <w:r>
              <w:rPr>
                <w:sz w:val="17"/>
              </w:rPr>
              <w:t>Labeled query test set with stale-vs-internal knowledge labels</w:t>
            </w:r>
          </w:p>
        </w:tc>
      </w:tr>
      <w:tr>
        <w:tc>
          <w:tcPr>
            <w:tcW w:type="dxa" w:w="2268"/>
            <w:vAlign w:val="center"/>
          </w:tcPr>
          <w:p>
            <w:pPr>
              <w:spacing w:after="40" w:line="259" w:lineRule="auto"/>
            </w:pPr>
            <w:r>
              <w:rPr>
                <w:sz w:val="17"/>
              </w:rPr>
              <w:t>Evidence Merge F1</w:t>
            </w:r>
          </w:p>
        </w:tc>
        <w:tc>
          <w:tcPr>
            <w:tcW w:type="dxa" w:w="1361"/>
            <w:vAlign w:val="center"/>
          </w:tcPr>
          <w:p>
            <w:pPr>
              <w:spacing w:after="40" w:line="259" w:lineRule="auto"/>
            </w:pPr>
            <w:r>
              <w:rPr>
                <w:sz w:val="17"/>
              </w:rPr>
              <w:t>13</w:t>
            </w:r>
          </w:p>
        </w:tc>
        <w:tc>
          <w:tcPr>
            <w:tcW w:type="dxa" w:w="2154"/>
            <w:vAlign w:val="center"/>
          </w:tcPr>
          <w:p>
            <w:pPr>
              <w:spacing w:after="40" w:line="259" w:lineRule="auto"/>
            </w:pPr>
            <w:r>
              <w:rPr>
                <w:sz w:val="17"/>
              </w:rPr>
              <w:t>&gt;0.8 vs. human judgment</w:t>
            </w:r>
          </w:p>
        </w:tc>
        <w:tc>
          <w:tcPr>
            <w:tcW w:type="dxa" w:w="3402"/>
            <w:vAlign w:val="center"/>
          </w:tcPr>
          <w:p>
            <w:pPr>
              <w:spacing w:after="40" w:line="259" w:lineRule="auto"/>
            </w:pPr>
            <w:r>
              <w:rPr>
                <w:sz w:val="17"/>
              </w:rPr>
              <w:t>Contradiction detection and reconciliation benchmark</w:t>
            </w:r>
          </w:p>
        </w:tc>
      </w:tr>
      <w:tr>
        <w:tc>
          <w:tcPr>
            <w:tcW w:type="dxa" w:w="2268"/>
            <w:vAlign w:val="center"/>
          </w:tcPr>
          <w:p>
            <w:pPr>
              <w:spacing w:after="40" w:line="259" w:lineRule="auto"/>
            </w:pPr>
            <w:r>
              <w:rPr>
                <w:sz w:val="17"/>
              </w:rPr>
              <w:t>End-to-End Latency</w:t>
            </w:r>
          </w:p>
        </w:tc>
        <w:tc>
          <w:tcPr>
            <w:tcW w:type="dxa" w:w="1361"/>
            <w:vAlign w:val="center"/>
          </w:tcPr>
          <w:p>
            <w:pPr>
              <w:spacing w:after="40" w:line="259" w:lineRule="auto"/>
            </w:pPr>
            <w:r>
              <w:rPr>
                <w:sz w:val="17"/>
              </w:rPr>
              <w:t>All</w:t>
            </w:r>
          </w:p>
        </w:tc>
        <w:tc>
          <w:tcPr>
            <w:tcW w:type="dxa" w:w="2154"/>
            <w:vAlign w:val="center"/>
          </w:tcPr>
          <w:p>
            <w:pPr>
              <w:spacing w:after="40" w:line="259" w:lineRule="auto"/>
            </w:pPr>
            <w:r>
              <w:rPr>
                <w:sz w:val="17"/>
              </w:rPr>
              <w:t>&lt;200 ms/token (CPU)</w:t>
            </w:r>
          </w:p>
        </w:tc>
        <w:tc>
          <w:tcPr>
            <w:tcW w:type="dxa" w:w="3402"/>
            <w:vAlign w:val="center"/>
          </w:tcPr>
          <w:p>
            <w:pPr>
              <w:spacing w:after="40" w:line="259" w:lineRule="auto"/>
            </w:pPr>
            <w:r>
              <w:rPr>
                <w:sz w:val="17"/>
              </w:rPr>
              <w:t>Profiling on target hardware under mixed retrieval/non-retrieval workloads</w:t>
            </w:r>
          </w:p>
        </w:tc>
      </w:tr>
      <w:tr>
        <w:tc>
          <w:tcPr>
            <w:tcW w:type="dxa" w:w="2268"/>
            <w:vAlign w:val="center"/>
          </w:tcPr>
          <w:p>
            <w:pPr>
              <w:spacing w:after="40" w:line="259" w:lineRule="auto"/>
            </w:pPr>
            <w:r>
              <w:rPr>
                <w:sz w:val="17"/>
              </w:rPr>
              <w:t>Memory Growth Rate</w:t>
            </w:r>
          </w:p>
        </w:tc>
        <w:tc>
          <w:tcPr>
            <w:tcW w:type="dxa" w:w="1361"/>
            <w:vAlign w:val="center"/>
          </w:tcPr>
          <w:p>
            <w:pPr>
              <w:spacing w:after="40" w:line="259" w:lineRule="auto"/>
            </w:pPr>
            <w:r>
              <w:rPr>
                <w:sz w:val="17"/>
              </w:rPr>
              <w:t>4, 21</w:t>
            </w:r>
          </w:p>
        </w:tc>
        <w:tc>
          <w:tcPr>
            <w:tcW w:type="dxa" w:w="2154"/>
            <w:vAlign w:val="center"/>
          </w:tcPr>
          <w:p>
            <w:r>
              <w:t>&lt;1 MB/day after stabilization under typical personal use</w:t>
            </w:r>
          </w:p>
        </w:tc>
        <w:tc>
          <w:tcPr>
            <w:tcW w:type="dxa" w:w="3402"/>
            <w:vAlign w:val="center"/>
          </w:tcPr>
          <w:p>
            <w:r>
              <w:t>Long-run stress test under an assumed workload of ~200 user queries/day with external retrieval on &lt;=20% of queries.</w:t>
            </w:r>
          </w:p>
        </w:tc>
      </w:tr>
      <w:tr>
        <w:tc>
          <w:tcPr>
            <w:tcW w:type="dxa" w:w="2268"/>
            <w:vAlign w:val="center"/>
          </w:tcPr>
          <w:p>
            <w:pPr>
              <w:spacing w:after="40" w:line="259" w:lineRule="auto"/>
            </w:pPr>
            <w:r>
              <w:rPr>
                <w:sz w:val="17"/>
              </w:rPr>
              <w:t>Personalization Retention</w:t>
            </w:r>
          </w:p>
        </w:tc>
        <w:tc>
          <w:tcPr>
            <w:tcW w:type="dxa" w:w="1361"/>
            <w:vAlign w:val="center"/>
          </w:tcPr>
          <w:p>
            <w:pPr>
              <w:spacing w:after="40" w:line="259" w:lineRule="auto"/>
            </w:pPr>
            <w:r>
              <w:rPr>
                <w:sz w:val="17"/>
              </w:rPr>
              <w:t>4, 18</w:t>
            </w:r>
          </w:p>
        </w:tc>
        <w:tc>
          <w:tcPr>
            <w:tcW w:type="dxa" w:w="2154"/>
            <w:vAlign w:val="center"/>
          </w:tcPr>
          <w:p>
            <w:pPr>
              <w:spacing w:after="40" w:line="259" w:lineRule="auto"/>
            </w:pPr>
            <w:r>
              <w:rPr>
                <w:sz w:val="17"/>
              </w:rPr>
              <w:t>&gt;80% user-specific facts after 1 week</w:t>
            </w:r>
          </w:p>
        </w:tc>
        <w:tc>
          <w:tcPr>
            <w:tcW w:type="dxa" w:w="3402"/>
            <w:vAlign w:val="center"/>
          </w:tcPr>
          <w:p>
            <w:pPr>
              <w:spacing w:after="40" w:line="259" w:lineRule="auto"/>
            </w:pPr>
            <w:r>
              <w:rPr>
                <w:sz w:val="17"/>
              </w:rPr>
              <w:t>Controlled user simulation with delayed recall tests</w:t>
            </w:r>
          </w:p>
        </w:tc>
      </w:tr>
    </w:tbl>
    <w:p/>
    <w:p>
      <w:pPr>
        <w:pStyle w:val="Heading1"/>
      </w:pPr>
      <w:r>
        <w:t>Implementation Guidance for Engineering Teams</w:t>
      </w:r>
    </w:p>
    <w:p>
      <w:r>
        <w:t>A practical implementation should avoid building all 21 layers simultaneously. The architecture is best realized as a staged program with instrumentation at each stage. A minimal viable core can be built around raw input, dynamic units, hierarchical units, memory store, context matrix, sequence state, calculated search, internal candidate routing, and output decoding. External retrieval should be added only after the internal routing pipeline is measurable and stable. When retrieval modules are inactive, Layer 14 falls back to internal-only scoring and the evidence-support term is defined as zero rather than implicitly estimated.</w:t>
      </w:r>
    </w:p>
    <w:p>
      <w:pPr>
        <w:pStyle w:val="Heading2"/>
      </w:pPr>
      <w:r>
        <w:t>Anchor units are protected using explicit heuristics: sustained salience across multiple turns, repeated user-confirmed references, named entities or identifiers reused across tasks, units whose removal degrades successful traces, and facts corroborated across separate sessions or trusted retrieval events. Inference-time statistics can be collected continuously, but Layer 18 is the module that commits durable updates to pruning policy, routing policy, and retrieval thresholds.</w:t>
      </w:r>
    </w:p>
    <w:p>
      <w:pPr>
        <w:pStyle w:val="ListBullet"/>
      </w:pPr>
      <w:r>
        <w:t>Phase 1: implement Layers 1-8 and 14-17 to produce an internal-only predictive loop, with Adaptive Calculated Search using spatial fit, context fit, sequence fit, learned transitions, utility, and confidence, while evidence support remains disabled (set to zero).</w:t>
      </w:r>
    </w:p>
    <w:p>
      <w:pPr>
        <w:pStyle w:val="ListBullet"/>
      </w:pPr>
      <w:r>
        <w:t>Phase 2: add Layer 20 observability early so routing and scoring can be inspected before search is introduced.</w:t>
      </w:r>
    </w:p>
    <w:p>
      <w:pPr>
        <w:pStyle w:val="ListBullet"/>
      </w:pPr>
      <w:r>
        <w:t>Phase 3: add Layer 9 search gating and Layer 10 query builder with strict privacy sanitation.</w:t>
      </w:r>
    </w:p>
    <w:p>
      <w:pPr>
        <w:pStyle w:val="ListBullet"/>
      </w:pPr>
      <w:r>
        <w:t>Phase 4: add Layers 11-13 for retrieval, ingestion, evidence merge, and conflict handling.</w:t>
      </w:r>
    </w:p>
    <w:p>
      <w:pPr>
        <w:pStyle w:val="ListBullet"/>
      </w:pPr>
      <w:r>
        <w:t>Phase 5: add Layer 18 feedback controls and Layer 21 memory governance for long-run stability, including the optional Silent Training Mode for batch ingestion, progress telemetry, and bounded episodic learning.</w:t>
      </w:r>
    </w:p>
    <w:p>
      <w:pPr>
        <w:pStyle w:val="ListBullet"/>
      </w:pPr>
      <w:r>
        <w:t>Phase 6: harden Layer 19 trust and safety rules before broad deployment.</w:t>
      </w:r>
    </w:p>
    <w:p>
      <w:pPr>
        <w:pStyle w:val="Heading2"/>
      </w:pPr>
      <w:r>
        <w:t>Interface sketch and reproducibility clarifications</w:t>
      </w:r>
    </w:p>
    <w:tbl>
      <w:tblPr>
        <w:tblStyle w:val="TableGrid"/>
        <w:tblW w:type="auto" w:w="0"/>
        <w:jc w:val="center"/>
        <w:tblLayout w:type="fixed"/>
        <w:tblLook w:firstColumn="1" w:firstRow="1" w:lastColumn="0" w:lastRow="0" w:noHBand="0" w:noVBand="1" w:val="04A0"/>
      </w:tblPr>
      <w:tblGrid>
        <w:gridCol w:w="4986"/>
        <w:gridCol w:w="4986"/>
      </w:tblGrid>
      <w:tr>
        <w:tc>
          <w:tcPr>
            <w:tcW w:type="dxa" w:w="1984"/>
            <w:shd w:fill="DCE6F1"/>
            <w:vAlign w:val="center"/>
          </w:tcPr>
          <w:p>
            <w:pPr>
              <w:jc w:val="center"/>
            </w:pPr>
            <w:r>
              <w:rPr>
                <w:b/>
                <w:sz w:val="17"/>
              </w:rPr>
              <w:t>Module</w:t>
            </w:r>
          </w:p>
        </w:tc>
        <w:tc>
          <w:tcPr>
            <w:tcW w:type="dxa" w:w="7087"/>
            <w:shd w:fill="DCE6F1"/>
            <w:vAlign w:val="center"/>
          </w:tcPr>
          <w:p>
            <w:pPr>
              <w:jc w:val="center"/>
            </w:pPr>
            <w:r>
              <w:rPr>
                <w:b/>
                <w:sz w:val="17"/>
              </w:rPr>
              <w:t>Minimal interface sketch</w:t>
            </w:r>
          </w:p>
        </w:tc>
      </w:tr>
      <w:tr>
        <w:tc>
          <w:tcPr>
            <w:tcW w:type="dxa" w:w="1984"/>
            <w:vAlign w:val="center"/>
          </w:tcPr>
          <w:p>
            <w:pPr>
              <w:spacing w:after="40" w:line="259" w:lineRule="auto"/>
            </w:pPr>
            <w:r>
              <w:rPr>
                <w:sz w:val="17"/>
              </w:rPr>
              <w:t>Unit Builder</w:t>
            </w:r>
          </w:p>
        </w:tc>
        <w:tc>
          <w:tcPr>
            <w:tcW w:type="dxa" w:w="7087"/>
            <w:vAlign w:val="center"/>
          </w:tcPr>
          <w:p>
            <w:pPr>
              <w:spacing w:after="40" w:line="259" w:lineRule="auto"/>
            </w:pPr>
            <w:r>
              <w:rPr>
                <w:sz w:val="17"/>
              </w:rPr>
              <w:t>ingest(raw_bytes) -&gt; activated_units, new_units</w:t>
            </w:r>
          </w:p>
        </w:tc>
      </w:tr>
      <w:tr>
        <w:tc>
          <w:tcPr>
            <w:tcW w:type="dxa" w:w="1984"/>
            <w:vAlign w:val="center"/>
          </w:tcPr>
          <w:p>
            <w:pPr>
              <w:spacing w:after="40" w:line="259" w:lineRule="auto"/>
            </w:pPr>
            <w:r>
              <w:rPr>
                <w:sz w:val="17"/>
              </w:rPr>
              <w:t>3D Router</w:t>
            </w:r>
          </w:p>
        </w:tc>
        <w:tc>
          <w:tcPr>
            <w:tcW w:type="dxa" w:w="7087"/>
            <w:vAlign w:val="center"/>
          </w:tcPr>
          <w:p>
            <w:pPr>
              <w:spacing w:after="40" w:line="259" w:lineRule="auto"/>
            </w:pPr>
            <w:r>
              <w:rPr>
                <w:sz w:val="17"/>
              </w:rPr>
              <w:t>route(activated_units) -&gt; active_regions, neighbors</w:t>
            </w:r>
          </w:p>
        </w:tc>
      </w:tr>
      <w:tr>
        <w:tc>
          <w:tcPr>
            <w:tcW w:type="dxa" w:w="1984"/>
            <w:vAlign w:val="center"/>
          </w:tcPr>
          <w:p>
            <w:pPr>
              <w:spacing w:after="40" w:line="259" w:lineRule="auto"/>
            </w:pPr>
            <w:r>
              <w:rPr>
                <w:sz w:val="17"/>
              </w:rPr>
              <w:t>Context/State</w:t>
            </w:r>
          </w:p>
        </w:tc>
        <w:tc>
          <w:tcPr>
            <w:tcW w:type="dxa" w:w="7087"/>
            <w:vAlign w:val="center"/>
          </w:tcPr>
          <w:p>
            <w:pPr>
              <w:spacing w:after="40" w:line="259" w:lineRule="auto"/>
            </w:pPr>
            <w:r>
              <w:rPr>
                <w:sz w:val="17"/>
              </w:rPr>
              <w:t>update(active_regions, prior_state) -&gt; context_matrix, sequence_state</w:t>
            </w:r>
          </w:p>
        </w:tc>
      </w:tr>
      <w:tr>
        <w:tc>
          <w:tcPr>
            <w:tcW w:type="dxa" w:w="1984"/>
            <w:vAlign w:val="center"/>
          </w:tcPr>
          <w:p>
            <w:pPr>
              <w:spacing w:after="40" w:line="259" w:lineRule="auto"/>
            </w:pPr>
            <w:r>
              <w:rPr>
                <w:sz w:val="17"/>
              </w:rPr>
              <w:t>Need Detector</w:t>
            </w:r>
          </w:p>
        </w:tc>
        <w:tc>
          <w:tcPr>
            <w:tcW w:type="dxa" w:w="7087"/>
            <w:vAlign w:val="center"/>
          </w:tcPr>
          <w:p>
            <w:pPr>
              <w:spacing w:after="40" w:line="259" w:lineRule="auto"/>
            </w:pPr>
            <w:r>
              <w:rPr>
                <w:sz w:val="17"/>
              </w:rPr>
              <w:t>assess(context_matrix, sequence_state, confidence_stats) -&gt; search_decision</w:t>
            </w:r>
          </w:p>
        </w:tc>
      </w:tr>
      <w:tr>
        <w:tc>
          <w:tcPr>
            <w:tcW w:type="dxa" w:w="1984"/>
            <w:vAlign w:val="center"/>
          </w:tcPr>
          <w:p>
            <w:pPr>
              <w:spacing w:after="40" w:line="259" w:lineRule="auto"/>
            </w:pPr>
            <w:r>
              <w:rPr>
                <w:sz w:val="17"/>
              </w:rPr>
              <w:t>Query Builder</w:t>
            </w:r>
          </w:p>
        </w:tc>
        <w:tc>
          <w:tcPr>
            <w:tcW w:type="dxa" w:w="7087"/>
            <w:vAlign w:val="center"/>
          </w:tcPr>
          <w:p>
            <w:pPr>
              <w:spacing w:after="40" w:line="259" w:lineRule="auto"/>
            </w:pPr>
            <w:r>
              <w:rPr>
                <w:sz w:val="17"/>
              </w:rPr>
              <w:t>build(context_matrix, sequence_state) -&gt; sanitized_query</w:t>
            </w:r>
          </w:p>
        </w:tc>
      </w:tr>
      <w:tr>
        <w:tc>
          <w:tcPr>
            <w:tcW w:type="dxa" w:w="1984"/>
            <w:vAlign w:val="center"/>
          </w:tcPr>
          <w:p>
            <w:pPr>
              <w:spacing w:after="40" w:line="259" w:lineRule="auto"/>
            </w:pPr>
            <w:r>
              <w:rPr>
                <w:sz w:val="17"/>
              </w:rPr>
              <w:t>Retriever</w:t>
            </w:r>
          </w:p>
        </w:tc>
        <w:tc>
          <w:tcPr>
            <w:tcW w:type="dxa" w:w="7087"/>
            <w:vAlign w:val="center"/>
          </w:tcPr>
          <w:p>
            <w:pPr>
              <w:spacing w:after="40" w:line="259" w:lineRule="auto"/>
            </w:pPr>
            <w:r>
              <w:rPr>
                <w:sz w:val="17"/>
              </w:rPr>
              <w:t>search(query) -&gt; ranked_results</w:t>
            </w:r>
          </w:p>
        </w:tc>
      </w:tr>
      <w:tr>
        <w:tc>
          <w:tcPr>
            <w:tcW w:type="dxa" w:w="1984"/>
            <w:vAlign w:val="center"/>
          </w:tcPr>
          <w:p>
            <w:pPr>
              <w:spacing w:after="40" w:line="259" w:lineRule="auto"/>
            </w:pPr>
            <w:r>
              <w:rPr>
                <w:sz w:val="17"/>
              </w:rPr>
              <w:t>Ingestion</w:t>
            </w:r>
          </w:p>
        </w:tc>
        <w:tc>
          <w:tcPr>
            <w:tcW w:type="dxa" w:w="7087"/>
            <w:vAlign w:val="center"/>
          </w:tcPr>
          <w:p>
            <w:pPr>
              <w:spacing w:after="40" w:line="259" w:lineRule="auto"/>
            </w:pPr>
            <w:r>
              <w:rPr>
                <w:sz w:val="17"/>
              </w:rPr>
              <w:t>normalize(results) -&gt; evidence_units, evidence_metadata</w:t>
            </w:r>
          </w:p>
        </w:tc>
      </w:tr>
      <w:tr>
        <w:tc>
          <w:tcPr>
            <w:tcW w:type="dxa" w:w="1984"/>
            <w:vAlign w:val="center"/>
          </w:tcPr>
          <w:p>
            <w:pPr>
              <w:spacing w:after="40" w:line="259" w:lineRule="auto"/>
            </w:pPr>
            <w:r>
              <w:rPr>
                <w:sz w:val="17"/>
              </w:rPr>
              <w:t>Evidence Merge</w:t>
            </w:r>
          </w:p>
        </w:tc>
        <w:tc>
          <w:tcPr>
            <w:tcW w:type="dxa" w:w="7087"/>
            <w:vAlign w:val="center"/>
          </w:tcPr>
          <w:p>
            <w:pPr>
              <w:spacing w:after="40" w:line="259" w:lineRule="auto"/>
            </w:pPr>
            <w:r>
              <w:rPr>
                <w:sz w:val="17"/>
              </w:rPr>
              <w:t>merge(internal_state, evidence_state) -&gt; merged_state</w:t>
            </w:r>
          </w:p>
        </w:tc>
      </w:tr>
      <w:tr>
        <w:tc>
          <w:tcPr>
            <w:tcW w:type="dxa" w:w="1984"/>
            <w:vAlign w:val="center"/>
          </w:tcPr>
          <w:p>
            <w:pPr>
              <w:spacing w:after="40" w:line="259" w:lineRule="auto"/>
            </w:pPr>
            <w:r>
              <w:rPr>
                <w:sz w:val="17"/>
              </w:rPr>
              <w:t>Calculated Search</w:t>
            </w:r>
          </w:p>
        </w:tc>
        <w:tc>
          <w:tcPr>
            <w:tcW w:type="dxa" w:w="7087"/>
            <w:vAlign w:val="center"/>
          </w:tcPr>
          <w:p>
            <w:pPr>
              <w:spacing w:after="40" w:line="259" w:lineRule="auto"/>
            </w:pPr>
            <w:r>
              <w:rPr>
                <w:sz w:val="17"/>
              </w:rPr>
              <w:t>score(merged_state, candidates) -&gt; ranked_candidates</w:t>
            </w:r>
          </w:p>
        </w:tc>
      </w:tr>
      <w:tr>
        <w:tc>
          <w:tcPr>
            <w:tcW w:type="dxa" w:w="1984"/>
            <w:vAlign w:val="center"/>
          </w:tcPr>
          <w:p>
            <w:pPr>
              <w:spacing w:after="40" w:line="259" w:lineRule="auto"/>
            </w:pPr>
            <w:r>
              <w:rPr>
                <w:sz w:val="17"/>
              </w:rPr>
              <w:t>Fine Resolver</w:t>
            </w:r>
          </w:p>
        </w:tc>
        <w:tc>
          <w:tcPr>
            <w:tcW w:type="dxa" w:w="7087"/>
            <w:vAlign w:val="center"/>
          </w:tcPr>
          <w:p>
            <w:pPr>
              <w:spacing w:after="40" w:line="259" w:lineRule="auto"/>
            </w:pPr>
            <w:r>
              <w:rPr>
                <w:sz w:val="17"/>
              </w:rPr>
              <w:t>select(ranked_candidates, mode) -&gt; chosen_unit</w:t>
            </w:r>
          </w:p>
        </w:tc>
      </w:tr>
      <w:tr>
        <w:tc>
          <w:tcPr>
            <w:tcW w:type="dxa" w:w="1984"/>
            <w:vAlign w:val="center"/>
          </w:tcPr>
          <w:p>
            <w:pPr>
              <w:spacing w:after="40" w:line="259" w:lineRule="auto"/>
            </w:pPr>
            <w:r>
              <w:rPr>
                <w:sz w:val="17"/>
              </w:rPr>
              <w:t>Output Decoder</w:t>
            </w:r>
          </w:p>
        </w:tc>
        <w:tc>
          <w:tcPr>
            <w:tcW w:type="dxa" w:w="7087"/>
            <w:vAlign w:val="center"/>
          </w:tcPr>
          <w:p>
            <w:pPr>
              <w:spacing w:after="40" w:line="259" w:lineRule="auto"/>
            </w:pPr>
            <w:r>
              <w:rPr>
                <w:sz w:val="17"/>
              </w:rPr>
              <w:t>decode(chosen_unit, merged_state) -&gt; text</w:t>
            </w:r>
          </w:p>
        </w:tc>
      </w:tr>
      <w:tr>
        <w:tc>
          <w:tcPr>
            <w:tcW w:type="dxa" w:w="1984"/>
            <w:vAlign w:val="center"/>
          </w:tcPr>
          <w:p>
            <w:pPr>
              <w:spacing w:after="40" w:line="259" w:lineRule="auto"/>
            </w:pPr>
            <w:r>
              <w:rPr>
                <w:sz w:val="17"/>
              </w:rPr>
              <w:t>Feedback</w:t>
            </w:r>
          </w:p>
        </w:tc>
        <w:tc>
          <w:tcPr>
            <w:tcW w:type="dxa" w:w="7087"/>
            <w:vAlign w:val="center"/>
          </w:tcPr>
          <w:p>
            <w:pPr>
              <w:spacing w:after="40" w:line="259" w:lineRule="auto"/>
            </w:pPr>
            <w:r>
              <w:rPr>
                <w:sz w:val="17"/>
              </w:rPr>
              <w:t>learn(example, outcome, trace) -&gt; update_events</w:t>
            </w:r>
          </w:p>
        </w:tc>
      </w:tr>
    </w:tbl>
    <w:p>
      <w:r>
        <w:t>Anchor units are protected using explicit heuristics: sustained salience across multiple turns, repeated user-confirmed references, named entities or identifiers reused across tasks, and units whose removal measurably degrades retrieval, personalization, or task continuity. Layer 18 acts as the orchestration point for learning updates: individual subsystems may emit local statistics online, but durable parameter, map, pruning, and memory-policy updates are committed through the Layer 18 feedback controller so training and runtime adaptation remain consistent.</w:t>
      </w:r>
    </w:p>
    <w:p>
      <w:pPr>
        <w:pStyle w:val="Heading1"/>
      </w:pPr>
      <w:r>
        <w:t>Silent Training Mode Extension</w:t>
      </w:r>
    </w:p>
    <w:p>
      <w:pPr/>
      <w:r>
        <w:t>The architecture also supports an optional Silent Training Mode for ingesting URLs and documents without generating an answer. This mode is intended for curated corpus updates, user-provided background material, enterprise knowledge synchronization, and long-form document learning where the primary objective is memory formation rather than immediate response generation.</w:t>
      </w:r>
    </w:p>
    <w:tbl>
      <w:tblPr>
        <w:tblStyle w:val="TableGrid"/>
        <w:tblW w:type="auto" w:w="0"/>
        <w:tblLook w:firstColumn="1" w:firstRow="1" w:lastColumn="0" w:lastRow="0" w:noHBand="0" w:noVBand="1" w:val="04A0"/>
      </w:tblPr>
      <w:tblGrid>
        <w:gridCol w:w="4986"/>
        <w:gridCol w:w="4986"/>
      </w:tblGrid>
      <w:tr>
        <w:tc>
          <w:tcPr>
            <w:tcW w:type="dxa" w:w="4986"/>
          </w:tcPr>
          <w:p>
            <w:r/>
            <w:r>
              <w:rPr>
                <w:b/>
              </w:rPr>
              <w:t>Requirement</w:t>
            </w:r>
          </w:p>
        </w:tc>
        <w:tc>
          <w:tcPr>
            <w:tcW w:type="dxa" w:w="4986"/>
          </w:tcPr>
          <w:p>
            <w:r/>
            <w:r>
              <w:rPr>
                <w:b/>
              </w:rPr>
              <w:t>Architecture Mapping</w:t>
            </w:r>
          </w:p>
        </w:tc>
      </w:tr>
      <w:tr>
        <w:tc>
          <w:tcPr>
            <w:tcW w:type="dxa" w:w="4986"/>
          </w:tcPr>
          <w:p>
            <w:r/>
            <w:r>
              <w:rPr>
                <w:b w:val="0"/>
              </w:rPr>
              <w:t>No response generated</w:t>
            </w:r>
          </w:p>
        </w:tc>
        <w:tc>
          <w:tcPr>
            <w:tcW w:type="dxa" w:w="4986"/>
          </w:tcPr>
          <w:p>
            <w:r>
              <w:t>Bypass Layers 14-17 (Local Candidate Router, Fine Resolver, Output Decoder) after evidence normalization and memory commit.</w:t>
            </w:r>
          </w:p>
        </w:tc>
      </w:tr>
      <w:tr>
        <w:tc>
          <w:tcPr>
            <w:tcW w:type="dxa" w:w="4986"/>
          </w:tcPr>
          <w:p>
            <w:r/>
            <w:r>
              <w:rPr>
                <w:b w:val="0"/>
              </w:rPr>
              <w:t>Accept URLs and documents</w:t>
            </w:r>
          </w:p>
        </w:tc>
        <w:tc>
          <w:tcPr>
            <w:tcW w:type="dxa" w:w="4986"/>
          </w:tcPr>
          <w:p>
            <w:r>
              <w:t>Route through Layer 1 (Raw Input) and Layer 12 (Normalized External Content Ingestion) with mode=train_only; supplied URLs are treated as sources to ingest, not prompts to answer.</w:t>
            </w:r>
          </w:p>
        </w:tc>
      </w:tr>
      <w:tr>
        <w:tc>
          <w:tcPr>
            <w:tcW w:type="dxa" w:w="4986"/>
          </w:tcPr>
          <w:p>
            <w:r/>
            <w:r>
              <w:rPr>
                <w:b w:val="0"/>
              </w:rPr>
              <w:t>Train on content</w:t>
            </w:r>
          </w:p>
        </w:tc>
        <w:tc>
          <w:tcPr>
            <w:tcW w:type="dxa" w:w="4986"/>
          </w:tcPr>
          <w:p>
            <w:r/>
            <w:r>
              <w:rPr>
                <w:b w:val="0"/>
              </w:rPr>
              <w:t>Run Layers 2-8, 18, and 21 in batch-oriented mode so units, hierarchy, memory, map statistics, and pruning policies are updated without decoding output.</w:t>
            </w:r>
          </w:p>
        </w:tc>
      </w:tr>
      <w:tr>
        <w:tc>
          <w:tcPr>
            <w:tcW w:type="dxa" w:w="4986"/>
          </w:tcPr>
          <w:p>
            <w:r/>
            <w:r>
              <w:rPr>
                <w:b w:val="0"/>
              </w:rPr>
              <w:t>Progress-only output</w:t>
            </w:r>
          </w:p>
        </w:tc>
        <w:tc>
          <w:tcPr>
            <w:tcW w:type="dxa" w:w="4986"/>
          </w:tcPr>
          <w:p>
            <w:r/>
            <w:r>
              <w:rPr>
                <w:b w:val="0"/>
              </w:rPr>
              <w:t>Use Layer 20 (Debug and Explainability) as a lightweight telemetry channel that reports job status, ingestion counts, memory delta, and warnings.</w:t>
            </w:r>
          </w:p>
        </w:tc>
      </w:tr>
      <w:tr>
        <w:tc>
          <w:tcPr>
            <w:tcW w:type="dxa" w:w="4986"/>
          </w:tcPr>
          <w:p>
            <w:r/>
            <w:r>
              <w:rPr>
                <w:b w:val="0"/>
              </w:rPr>
              <w:t>Safe persistence policy</w:t>
            </w:r>
          </w:p>
        </w:tc>
        <w:tc>
          <w:tcPr>
            <w:tcW w:type="dxa" w:w="4986"/>
          </w:tcPr>
          <w:p>
            <w:r/>
            <w:r>
              <w:rPr>
                <w:b w:val="0"/>
              </w:rPr>
              <w:t>Write newly learned material to Episodic Memory first; promotion to Core Memory requires repeated corroboration, explicit consolidation, or scheduled compaction review.</w:t>
            </w:r>
          </w:p>
        </w:tc>
      </w:tr>
    </w:tbl>
    <w:p>
      <w:pPr>
        <w:pStyle w:val="Heading2"/>
      </w:pPr>
      <w:r>
        <w:t>Modified Silent Training Flow</w:t>
      </w:r>
    </w:p>
    <w:p>
      <w:pPr/>
      <w:r>
        <w:t>Input sources enter Layer 1 with training_mode set to silent. Layer 9 is bypassed because retrieval decisioning is not needed in this mode. For document uploads, Layer 12 normalizes and extracts the supplied content directly. For URL inputs, Layer 11 remains active as a fetch connector to retrieve the referenced content, after which Layer 12 performs normalization and extraction. In both cases the fetched or supplied material is treated as external content already authorized for ingestion into the training pipeline.</w:t>
      </w:r>
    </w:p>
    <w:p>
      <w:pPr>
        <w:pStyle w:val="Heading2"/>
      </w:pPr>
      <w:r>
        <w:t>Progress Telemetry Schema</w:t>
      </w:r>
    </w:p>
    <w:p>
      <w:pPr>
        <w:pStyle w:val="NoSpacing"/>
      </w:pPr>
      <w:r>
        <w:rPr>
          <w:rFonts w:ascii="Courier New" w:hAnsi="Courier New"/>
          <w:sz w:val="18"/>
        </w:rPr>
        <w:t>{</w:t>
        <w:br/>
      </w:r>
      <w:r>
        <w:rPr>
          <w:rFonts w:ascii="Courier New" w:hAnsi="Courier New"/>
          <w:sz w:val="18"/>
        </w:rPr>
        <w:t xml:space="preserve">  "job_id": "train_abc123",</w:t>
        <w:br/>
      </w:r>
      <w:r>
        <w:rPr>
          <w:rFonts w:ascii="Courier New" w:hAnsi="Courier New"/>
          <w:sz w:val="18"/>
        </w:rPr>
        <w:t xml:space="preserve">  "status": "processing",</w:t>
        <w:br/>
      </w:r>
      <w:r>
        <w:rPr>
          <w:rFonts w:ascii="Courier New" w:hAnsi="Courier New"/>
          <w:sz w:val="18"/>
        </w:rPr>
        <w:t xml:space="preserve">  "progress": {"percent_complete": 0.68, "sources_processed": 12, "sources_total": 18},</w:t>
        <w:br/>
      </w:r>
      <w:r>
        <w:rPr>
          <w:rFonts w:ascii="Courier New" w:hAnsi="Courier New"/>
          <w:sz w:val="18"/>
        </w:rPr>
        <w:t xml:space="preserve">  "learning_metrics": {"new_units_discovered": 2841, "units_pruned": 156, "memory_delta_kb": 412,</w:t>
        <w:br/>
      </w:r>
      <w:r>
        <w:rPr>
          <w:rFonts w:ascii="Courier New" w:hAnsi="Courier New"/>
          <w:sz w:val="18"/>
        </w:rPr>
        <w:t xml:space="preserve">                       "map_adjustments": 23, "anchors_protected": 8},</w:t>
        <w:br/>
      </w:r>
      <w:r>
        <w:rPr>
          <w:rFonts w:ascii="Courier New" w:hAnsi="Courier New"/>
          <w:sz w:val="18"/>
        </w:rPr>
        <w:t xml:space="preserve">  "performance": {"avg_ms_per_source": 340},</w:t>
        <w:br/>
      </w:r>
      <w:r>
        <w:rPr>
          <w:rFonts w:ascii="Courier New" w:hAnsi="Courier New"/>
          <w:sz w:val="18"/>
        </w:rPr>
        <w:t xml:space="preserve">  "warnings": []</w:t>
        <w:br/>
      </w:r>
      <w:r>
        <w:rPr>
          <w:rFonts w:ascii="Courier New" w:hAnsi="Courier New"/>
          <w:sz w:val="18"/>
        </w:rPr>
        <w:t>}</w:t>
        <w:br/>
      </w:r>
    </w:p>
    <w:p>
      <w:pPr>
        <w:pStyle w:val="Heading2"/>
      </w:pPr>
      <w:r>
        <w:t>Suggested API Sketch</w:t>
      </w:r>
    </w:p>
    <w:p>
      <w:pPr>
        <w:pStyle w:val="NoSpacing"/>
      </w:pPr>
      <w:r>
        <w:rPr>
          <w:rFonts w:ascii="Courier New" w:hAnsi="Courier New"/>
          <w:sz w:val="18"/>
        </w:rPr>
        <w:t>POST /api/v1/train/batch</w:t>
        <w:br/>
      </w:r>
      <w:r>
        <w:rPr>
          <w:rFonts w:ascii="Courier New" w:hAnsi="Courier New"/>
          <w:sz w:val="18"/>
        </w:rPr>
        <w:t>{</w:t>
        <w:br/>
      </w:r>
      <w:r>
        <w:rPr>
          <w:rFonts w:ascii="Courier New" w:hAnsi="Courier New"/>
          <w:sz w:val="18"/>
        </w:rPr>
        <w:t xml:space="preserve">  "mode": "silent",</w:t>
        <w:br/>
      </w:r>
      <w:r>
        <w:rPr>
          <w:rFonts w:ascii="Courier New" w:hAnsi="Courier New"/>
          <w:sz w:val="18"/>
        </w:rPr>
        <w:t xml:space="preserve">  "sources": [</w:t>
        <w:br/>
      </w:r>
      <w:r>
        <w:rPr>
          <w:rFonts w:ascii="Courier New" w:hAnsi="Courier New"/>
          <w:sz w:val="18"/>
        </w:rPr>
        <w:t xml:space="preserve">    {"type": "url", "value": "https://example.com/doc1"},</w:t>
        <w:br/>
      </w:r>
      <w:r>
        <w:rPr>
          <w:rFonts w:ascii="Courier New" w:hAnsi="Courier New"/>
          <w:sz w:val="18"/>
        </w:rPr>
        <w:t xml:space="preserve">    {"type": "document", "mime": "application/pdf", "content": "base64..."}</w:t>
        <w:br/>
      </w:r>
      <w:r>
        <w:rPr>
          <w:rFonts w:ascii="Courier New" w:hAnsi="Courier New"/>
          <w:sz w:val="18"/>
        </w:rPr>
        <w:t xml:space="preserve">  ],</w:t>
        <w:br/>
      </w:r>
      <w:r>
        <w:rPr>
          <w:rFonts w:ascii="Courier New" w:hAnsi="Courier New"/>
          <w:sz w:val="18"/>
        </w:rPr>
        <w:t xml:space="preserve">  "options": {"consolidate_immediately": false, "max_memory_delta_mb": 0.5, "progress_interval_sec": 10}</w:t>
        <w:br/>
      </w:r>
      <w:r>
        <w:rPr>
          <w:rFonts w:ascii="Courier New" w:hAnsi="Courier New"/>
          <w:sz w:val="18"/>
        </w:rPr>
        <w:t>}</w:t>
        <w:br/>
      </w:r>
      <w:r>
        <w:rPr>
          <w:rFonts w:ascii="Courier New" w:hAnsi="Courier New"/>
          <w:sz w:val="18"/>
        </w:rPr>
        <w:br/>
      </w:r>
      <w:r>
        <w:rPr>
          <w:rFonts w:ascii="Courier New" w:hAnsi="Courier New"/>
          <w:sz w:val="18"/>
        </w:rPr>
        <w:t>GET /api/v1/train/status/train_abc123</w:t>
        <w:br/>
      </w:r>
    </w:p>
    <w:p>
      <w:pPr>
        <w:pStyle w:val="Heading2"/>
      </w:pPr>
      <w:r>
        <w:t>Silent Training Mode Risks and Controls</w:t>
      </w:r>
    </w:p>
    <w:tbl>
      <w:tblPr>
        <w:tblStyle w:val="TableGrid"/>
        <w:tblW w:type="auto" w:w="0"/>
        <w:tblLook w:firstColumn="1" w:firstRow="1" w:lastColumn="0" w:lastRow="0" w:noHBand="0" w:noVBand="1" w:val="04A0"/>
      </w:tblPr>
      <w:tblGrid>
        <w:gridCol w:w="4986"/>
        <w:gridCol w:w="4986"/>
      </w:tblGrid>
      <w:tr>
        <w:tc>
          <w:tcPr>
            <w:tcW w:type="dxa" w:w="4986"/>
          </w:tcPr>
          <w:p>
            <w:r/>
            <w:r>
              <w:rPr>
                <w:b/>
              </w:rPr>
              <w:t>Risk</w:t>
            </w:r>
          </w:p>
        </w:tc>
        <w:tc>
          <w:tcPr>
            <w:tcW w:type="dxa" w:w="4986"/>
          </w:tcPr>
          <w:p>
            <w:r/>
            <w:r>
              <w:rPr>
                <w:b/>
              </w:rPr>
              <w:t>Mitigation</w:t>
            </w:r>
          </w:p>
        </w:tc>
      </w:tr>
      <w:tr>
        <w:tc>
          <w:tcPr>
            <w:tcW w:type="dxa" w:w="4986"/>
          </w:tcPr>
          <w:p>
            <w:r/>
            <w:r>
              <w:rPr>
                <w:b w:val="0"/>
              </w:rPr>
              <w:t>Memory spike during batch ingest</w:t>
            </w:r>
          </w:p>
        </w:tc>
        <w:tc>
          <w:tcPr>
            <w:tcW w:type="dxa" w:w="4986"/>
          </w:tcPr>
          <w:p>
            <w:r/>
            <w:r>
              <w:rPr>
                <w:b w:val="0"/>
              </w:rPr>
              <w:t>Stream-process sources, enforce a per-job memory budget, and trigger immediate Layer 21 pruning when memory delta exceeds the configured ceiling.</w:t>
            </w:r>
          </w:p>
        </w:tc>
      </w:tr>
      <w:tr>
        <w:tc>
          <w:tcPr>
            <w:tcW w:type="dxa" w:w="4986"/>
          </w:tcPr>
          <w:p>
            <w:r/>
            <w:r>
              <w:rPr>
                <w:b w:val="0"/>
              </w:rPr>
              <w:t>Inference interference</w:t>
            </w:r>
          </w:p>
        </w:tc>
        <w:tc>
          <w:tcPr>
            <w:tcW w:type="dxa" w:w="4986"/>
          </w:tcPr>
          <w:p>
            <w:r/>
            <w:r>
              <w:rPr>
                <w:b w:val="0"/>
              </w:rPr>
              <w:t>Run silent training jobs on a separate worker queue and keep interactive inference isolated from deferred map compaction and consolidation passes.</w:t>
            </w:r>
          </w:p>
        </w:tc>
      </w:tr>
      <w:tr>
        <w:tc>
          <w:tcPr>
            <w:tcW w:type="dxa" w:w="4986"/>
          </w:tcPr>
          <w:p>
            <w:r/>
            <w:r>
              <w:rPr>
                <w:b w:val="0"/>
              </w:rPr>
              <w:t>Overwriting trusted memory</w:t>
            </w:r>
          </w:p>
        </w:tc>
        <w:tc>
          <w:tcPr>
            <w:tcW w:type="dxa" w:w="4986"/>
          </w:tcPr>
          <w:p>
            <w:r/>
            <w:r>
              <w:rPr>
                <w:b w:val="0"/>
              </w:rPr>
              <w:t>Default all new material to a session-scoped episodic buffer; promotion to Core Memory requires repeated exposure, corroboration, or an explicit merge_to_core instruction.</w:t>
            </w:r>
          </w:p>
        </w:tc>
      </w:tr>
      <w:tr>
        <w:tc>
          <w:tcPr>
            <w:tcW w:type="dxa" w:w="4986"/>
          </w:tcPr>
          <w:p>
            <w:r/>
            <w:r>
              <w:rPr>
                <w:b w:val="0"/>
              </w:rPr>
              <w:t>Progress overhead</w:t>
            </w:r>
          </w:p>
        </w:tc>
        <w:tc>
          <w:tcPr>
            <w:tcW w:type="dxa" w:w="4986"/>
          </w:tcPr>
          <w:p>
            <w:r/>
            <w:r>
              <w:rPr>
                <w:b w:val="0"/>
              </w:rPr>
              <w:t>Emit telemetry asynchronously at coarse-grained intervals such as every five percent of completion or every N sources processed.</w:t>
            </w:r>
          </w:p>
        </w:tc>
      </w:tr>
    </w:tbl>
    <w:p>
      <w:pPr>
        <w:pStyle w:val="Heading1"/>
      </w:pPr>
      <w:r>
        <w:t>Product and Stakeholder Framing</w:t>
      </w:r>
    </w:p>
    <w:p>
      <w:r>
        <w:t>From a product perspective, the architecture offers a specific combination of benefits: adaptive personalization without fixed-token brittleness, retrieval only when needed, a pathway toward partial offline capability, and explicit trust controls for externally sourced information. This is particularly attractive for products that must balance freshness with privacy and cost.</w:t>
      </w:r>
    </w:p>
    <w:p>
      <w:pPr>
        <w:pStyle w:val="ListBullet"/>
      </w:pPr>
      <w:r>
        <w:t>Personalization: dynamic units and dual memory allow adaptation to user vocabulary, recurring tasks, and domain-specific shorthand.</w:t>
      </w:r>
    </w:p>
    <w:p>
      <w:pPr>
        <w:pStyle w:val="ListBullet"/>
      </w:pPr>
      <w:r>
        <w:t>Privacy: safe query building and optional retrieval reduce unnecessary outbound data transmission.</w:t>
      </w:r>
    </w:p>
    <w:p>
      <w:pPr>
        <w:pStyle w:val="ListBullet"/>
      </w:pPr>
      <w:r>
        <w:t>Offline capability: internal routing and memory remain useful even when retrieval is unavailable.</w:t>
      </w:r>
    </w:p>
    <w:p>
      <w:pPr>
        <w:pStyle w:val="ListBullet"/>
      </w:pPr>
      <w:r>
        <w:t>Freshness: the search gate allows current information to augment the model only when needed.</w:t>
      </w:r>
    </w:p>
    <w:p>
      <w:pPr>
        <w:pStyle w:val="ListBullet"/>
      </w:pPr>
      <w:r>
        <w:t>Governance: trust-aware ingestion and memory compaction reduce the risk of long-term contamination or runaway growth.</w:t>
      </w:r>
    </w:p>
    <w:p>
      <w:pPr>
        <w:pStyle w:val="Heading1"/>
      </w:pPr>
      <w:r>
        <w:t>Open-Source Release Strategy</w:t>
      </w:r>
    </w:p>
    <w:p>
      <w:r>
        <w:t>A community-friendly release should expose the architecture incrementally. The recommended open-source MVP is Layers 1-8 with a simple internal prediction loop, a transparent trace format, and plugin hooks for map optimization, retrieval, and evidence merge. Retrieval backends, trust policies, and product-specific connectors can then remain optional extensions.</w:t>
      </w:r>
    </w:p>
    <w:p>
      <w:pPr>
        <w:pStyle w:val="ListBullet"/>
      </w:pPr>
      <w:r>
        <w:t>Publish a reference trace schema for routing, scoring, and chosen-unit explanations.</w:t>
      </w:r>
    </w:p>
    <w:p>
      <w:pPr>
        <w:pStyle w:val="ListBullet"/>
      </w:pPr>
      <w:r>
        <w:t>Expose pluggable interfaces for map optimization, retrieval adapters, and memory compaction policies.</w:t>
      </w:r>
    </w:p>
    <w:p>
      <w:pPr>
        <w:pStyle w:val="ListBullet"/>
      </w:pPr>
      <w:r>
        <w:t>Ship test fixtures for pruning, anchor retention, contradiction handling, and latency regression.</w:t>
      </w:r>
    </w:p>
    <w:p>
      <w:pPr>
        <w:pStyle w:val="ListBullet"/>
      </w:pPr>
      <w:r>
        <w:t>Document a small benchmark suite aligned to the evaluation metrics in this document.</w:t>
      </w:r>
    </w:p>
    <w:p>
      <w:pPr>
        <w:pStyle w:val="Heading1"/>
      </w:pPr>
      <w:r>
        <w:t>Key Design Strengths and Open Risks</w:t>
      </w:r>
    </w:p>
    <w:p>
      <w:r>
        <w:t>Strengths. The architecture offers a coherent answer to several weaknesses of static-token, monolithic systems: it can adapt representational granularity, narrow internal candidate search locally for efficiency, preserve important state through anchors, and selectively use external retrieval for fresh evidence without making retrieval mandatory for every query.</w:t>
      </w:r>
    </w:p>
    <w:p>
      <w:r>
        <w:rPr>
          <w:b/>
        </w:rPr>
        <w:t xml:space="preserve">Open risks. </w:t>
      </w:r>
      <w:r>
        <w:t>The most important unresolved challenges are empirical rather than conceptual: whether the 3D routing structure remains stable under long-term growth, whether gating thresholds generalize across domains, whether evidence merge can maintain high precision under contradictory sources, and whether real CPU deployments achieve the claimed latency envelope under mixed workloads.</w:t>
      </w:r>
    </w:p>
    <w:p>
      <w:pPr>
        <w:pStyle w:val="Heading1"/>
      </w:pPr>
      <w:r>
        <w:t>Conclusion</w:t>
      </w:r>
    </w:p>
    <w:p>
      <w:r>
        <w:t>This architecture can be understood as a structured predictive search system for personal intelligence. It learns dynamic language units from raw text, arranges them inside an explicitly navigable semantic map, preserves present and long-range context through salience-weighted and anchored memory, and optionally augments itself with trusted external evidence. The result is a design that aims to be interpretable, modular, CPU-friendly, and suitable for lifelong adaptation.</w:t>
      </w:r>
    </w:p>
    <w:p>
      <w:pPr>
        <w:pStyle w:val="Callout"/>
        <w:shd w:fill="F8FBFF"/>
        <w:pBdr>
          <w:top w:val="single" w:sz="6" w:space="8" w:color="C9D7EE"/>
          <w:left w:val="single" w:sz="6" w:space="8" w:color="C9D7EE"/>
          <w:bottom w:val="single" w:sz="6" w:space="8" w:color="C9D7EE"/>
          <w:right w:val="single" w:sz="6" w:space="8" w:color="C9D7EE"/>
        </w:pBdr>
      </w:pPr>
      <w:r>
        <w:rPr>
          <w:b/>
        </w:rPr>
        <w:t xml:space="preserve">Final one-line summary. </w:t>
      </w:r>
      <w:r>
        <w:t>A tokenizer-free, CPU-friendly structured predictive search architecture that learns dynamic units, routes them through a regularized hierarchical 3D semantic map, maintains salience-weighted context and anchored sequence memory, optionally retrieves and validates web evidence, and resolves outputs through adaptive local candidate search.</w:t>
      </w:r>
    </w:p>
    <w:p/>
    <w:p>
      <w:pPr>
        <w:pStyle w:val="Small"/>
        <w:jc w:val="center"/>
      </w:pPr>
      <w:r>
        <w:t>Prepared as a publication-ready architecture brief spanning academic, engineering, product, and open-source audiences.</w:t>
      </w:r>
    </w:p>
    <w:p/>
    <w:p/>
    <w:p/>
    <w:p/>
    <w:p/>
    <w:p/>
    <w:p/>
    <w:p/>
    <w:p/>
    <w:p/>
    <w:p/>
    <w:p>
      <w:r>
        <w:br w:type="page"/>
      </w:r>
    </w:p>
    <w:p>
      <w:pPr>
        <w:pStyle w:val="Heading1"/>
      </w:pPr>
      <w:r>
        <w:t>Implementation Reference</w:t>
      </w:r>
    </w:p>
    <w:p>
      <w:pPr>
        <w:spacing w:after="120"/>
      </w:pPr>
      <w:r>
        <w:t>This section translates the publication-ready architecture into an implementation-ready reference for coding agents and engineering teams. It adds concrete data structures, concurrency guidance, configuration controls, recovery behavior, persistence assumptions, testing guidance, dependency recommendations, and an implementation-language recommendation.</w:t>
      </w:r>
    </w:p>
    <w:p>
      <w:pPr>
        <w:pStyle w:val="Heading2"/>
      </w:pPr>
      <w:r>
        <w:t>Concurrency Model</w:t>
      </w:r>
    </w:p>
    <w:p>
      <w:pPr>
        <w:spacing w:after="120"/>
      </w:pPr>
      <w:r>
        <w:t>The runtime should be organized as three cooperating execution classes so low-latency inference remains isolated from batch learning and background maintenance.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D9EAF7"/>
          </w:tcPr>
          <w:p>
            <w:pPr>
              <w:spacing w:after="60" w:before="0"/>
            </w:pPr>
            <w:r>
              <w:rPr>
                <w:b/>
                <w:sz w:val="18"/>
              </w:rPr>
              <w:t>Execution Class</w:t>
            </w:r>
          </w:p>
        </w:tc>
        <w:tc>
          <w:tcPr>
            <w:tcW w:type="dxa" w:w="1994"/>
            <w:shd w:fill="D9EAF7"/>
          </w:tcPr>
          <w:p>
            <w:pPr>
              <w:spacing w:after="60" w:before="0"/>
            </w:pPr>
            <w:r>
              <w:rPr>
                <w:b/>
                <w:sz w:val="18"/>
              </w:rPr>
              <w:t>Primary Responsibilities</w:t>
            </w:r>
          </w:p>
        </w:tc>
        <w:tc>
          <w:tcPr>
            <w:tcW w:type="dxa" w:w="1994"/>
            <w:shd w:fill="D9EAF7"/>
          </w:tcPr>
          <w:p>
            <w:pPr>
              <w:spacing w:after="60" w:before="0"/>
            </w:pPr>
            <w:r>
              <w:rPr>
                <w:b/>
                <w:sz w:val="18"/>
              </w:rPr>
              <w:t>Typical Layers</w:t>
            </w:r>
          </w:p>
        </w:tc>
        <w:tc>
          <w:tcPr>
            <w:tcW w:type="dxa" w:w="1994"/>
            <w:shd w:fill="D9EAF7"/>
          </w:tcPr>
          <w:p>
            <w:pPr>
              <w:spacing w:after="60" w:before="0"/>
            </w:pPr>
            <w:r>
              <w:rPr>
                <w:b/>
                <w:sz w:val="18"/>
              </w:rPr>
              <w:t>Scheduling Guidance</w:t>
            </w:r>
          </w:p>
        </w:tc>
        <w:tc>
          <w:tcPr>
            <w:tcW w:type="dxa" w:w="1994"/>
            <w:shd w:fill="D9EAF7"/>
          </w:tcPr>
          <w:p>
            <w:pPr>
              <w:spacing w:after="60" w:before="0"/>
            </w:pPr>
            <w:r>
              <w:rPr>
                <w:b/>
                <w:sz w:val="18"/>
              </w:rPr>
              <w:t>Shared-State Controls</w:t>
            </w:r>
          </w:p>
        </w:tc>
      </w:tr>
      <w:tr>
        <w:tc>
          <w:tcPr>
            <w:tcW w:type="dxa" w:w="1994"/>
          </w:tcPr>
          <w:p>
            <w:pPr>
              <w:spacing w:after="60" w:before="0"/>
            </w:pPr>
            <w:r>
              <w:rPr>
                <w:sz w:val="18"/>
              </w:rPr>
              <w:t>Inference thread pool</w:t>
            </w:r>
          </w:p>
        </w:tc>
        <w:tc>
          <w:tcPr>
            <w:tcW w:type="dxa" w:w="1994"/>
          </w:tcPr>
          <w:p>
            <w:pPr>
              <w:spacing w:after="60" w:before="0"/>
            </w:pPr>
            <w:r>
              <w:rPr>
                <w:sz w:val="18"/>
              </w:rPr>
              <w:t>Serve interactive requests with deterministic latency</w:t>
            </w:r>
          </w:p>
        </w:tc>
        <w:tc>
          <w:tcPr>
            <w:tcW w:type="dxa" w:w="1994"/>
          </w:tcPr>
          <w:p>
            <w:pPr>
              <w:spacing w:after="60" w:before="0"/>
            </w:pPr>
            <w:r>
              <w:rPr>
                <w:sz w:val="18"/>
              </w:rPr>
              <w:t>Layers 1-17 excluding optional retrieval waits</w:t>
            </w:r>
          </w:p>
        </w:tc>
        <w:tc>
          <w:tcPr>
            <w:tcW w:type="dxa" w:w="1994"/>
          </w:tcPr>
          <w:p>
            <w:pPr>
              <w:spacing w:after="60" w:before="0"/>
            </w:pPr>
            <w:r>
              <w:rPr>
                <w:sz w:val="18"/>
              </w:rPr>
              <w:t>Small fixed pool; prioritize user requests above all other jobs</w:t>
            </w:r>
          </w:p>
        </w:tc>
        <w:tc>
          <w:tcPr>
            <w:tcW w:type="dxa" w:w="1994"/>
          </w:tcPr>
          <w:p>
            <w:pPr>
              <w:spacing w:after="60" w:before="0"/>
            </w:pPr>
            <w:r>
              <w:rPr>
                <w:sz w:val="18"/>
              </w:rPr>
              <w:t>Read-write locks with snapshot/version reads for Layer 4 memory and Layer 5 map</w:t>
            </w:r>
          </w:p>
        </w:tc>
      </w:tr>
      <w:tr>
        <w:tc>
          <w:tcPr>
            <w:tcW w:type="dxa" w:w="1994"/>
          </w:tcPr>
          <w:p>
            <w:pPr>
              <w:spacing w:after="60" w:before="0"/>
            </w:pPr>
            <w:r>
              <w:rPr>
                <w:sz w:val="18"/>
              </w:rPr>
              <w:t>Interactive training workers</w:t>
            </w:r>
          </w:p>
        </w:tc>
        <w:tc>
          <w:tcPr>
            <w:tcW w:type="dxa" w:w="1994"/>
          </w:tcPr>
          <w:p>
            <w:pPr>
              <w:spacing w:after="60" w:before="0"/>
            </w:pPr>
            <w:r>
              <w:rPr>
                <w:sz w:val="18"/>
              </w:rPr>
              <w:t>Handle post-response updates, retrieval outcomes, and lightweight policy updates</w:t>
            </w:r>
          </w:p>
        </w:tc>
        <w:tc>
          <w:tcPr>
            <w:tcW w:type="dxa" w:w="1994"/>
          </w:tcPr>
          <w:p>
            <w:pPr>
              <w:spacing w:after="60" w:before="0"/>
            </w:pPr>
            <w:r>
              <w:rPr>
                <w:sz w:val="18"/>
              </w:rPr>
              <w:t>Layers 2-8, 18, 21</w:t>
            </w:r>
          </w:p>
        </w:tc>
        <w:tc>
          <w:tcPr>
            <w:tcW w:type="dxa" w:w="1994"/>
          </w:tcPr>
          <w:p>
            <w:pPr>
              <w:spacing w:after="60" w:before="0"/>
            </w:pPr>
            <w:r>
              <w:rPr>
                <w:sz w:val="18"/>
              </w:rPr>
              <w:t>Bounded worker pool; lower priority than inference</w:t>
            </w:r>
          </w:p>
        </w:tc>
        <w:tc>
          <w:tcPr>
            <w:tcW w:type="dxa" w:w="1994"/>
          </w:tcPr>
          <w:p>
            <w:pPr>
              <w:spacing w:after="60" w:before="0"/>
            </w:pPr>
            <w:r>
              <w:rPr>
                <w:sz w:val="18"/>
              </w:rPr>
              <w:t>Batch commits through Layer 18 to avoid fine-grained contention</w:t>
            </w:r>
          </w:p>
        </w:tc>
      </w:tr>
      <w:tr>
        <w:tc>
          <w:tcPr>
            <w:tcW w:type="dxa" w:w="1994"/>
          </w:tcPr>
          <w:p>
            <w:pPr>
              <w:spacing w:after="60" w:before="0"/>
            </w:pPr>
            <w:r>
              <w:rPr>
                <w:sz w:val="18"/>
              </w:rPr>
              <w:t>Silent batch training workers</w:t>
            </w:r>
          </w:p>
        </w:tc>
        <w:tc>
          <w:tcPr>
            <w:tcW w:type="dxa" w:w="1994"/>
          </w:tcPr>
          <w:p>
            <w:pPr>
              <w:spacing w:after="60" w:before="0"/>
            </w:pPr>
            <w:r>
              <w:rPr>
                <w:sz w:val="18"/>
              </w:rPr>
              <w:t>Process train-only ingestion jobs from documents and URLs</w:t>
            </w:r>
          </w:p>
        </w:tc>
        <w:tc>
          <w:tcPr>
            <w:tcW w:type="dxa" w:w="1994"/>
          </w:tcPr>
          <w:p>
            <w:pPr>
              <w:spacing w:after="60" w:before="0"/>
            </w:pPr>
            <w:r>
              <w:rPr>
                <w:sz w:val="18"/>
              </w:rPr>
              <w:t>Layers 1-13, 18, 20, 21; bypass 9 and 14-17 when forced-ingest mode is active</w:t>
            </w:r>
          </w:p>
        </w:tc>
        <w:tc>
          <w:tcPr>
            <w:tcW w:type="dxa" w:w="1994"/>
          </w:tcPr>
          <w:p>
            <w:pPr>
              <w:spacing w:after="60" w:before="0"/>
            </w:pPr>
            <w:r>
              <w:rPr>
                <w:sz w:val="18"/>
              </w:rPr>
              <w:t>Separate queue; configurable concurrency by CPU budget</w:t>
            </w:r>
          </w:p>
        </w:tc>
        <w:tc>
          <w:tcPr>
            <w:tcW w:type="dxa" w:w="1994"/>
          </w:tcPr>
          <w:p>
            <w:pPr>
              <w:spacing w:after="60" w:before="0"/>
            </w:pPr>
            <w:r>
              <w:rPr>
                <w:sz w:val="18"/>
              </w:rPr>
              <w:t>Session-scoped episodic buffers first, then governed merge</w:t>
            </w:r>
          </w:p>
        </w:tc>
      </w:tr>
      <w:tr>
        <w:tc>
          <w:tcPr>
            <w:tcW w:type="dxa" w:w="1994"/>
          </w:tcPr>
          <w:p>
            <w:r>
              <w:t>Background maintenance thread</w:t>
            </w:r>
          </w:p>
        </w:tc>
        <w:tc>
          <w:tcPr>
            <w:tcW w:type="dxa" w:w="1994"/>
          </w:tcPr>
          <w:p>
            <w:r>
              <w:t>Map compaction, region re-indexing, archival, pruning, snapshotting, and deferred force-directed updates</w:t>
            </w:r>
          </w:p>
        </w:tc>
        <w:tc>
          <w:tcPr>
            <w:tcW w:type="dxa" w:w="1994"/>
          </w:tcPr>
          <w:p>
            <w:r>
              <w:t>Layers 5, 6, 18, 21</w:t>
            </w:r>
          </w:p>
        </w:tc>
        <w:tc>
          <w:tcPr>
            <w:tcW w:type="dxa" w:w="1994"/>
          </w:tcPr>
          <w:p>
            <w:r>
              <w:t>Run only in idle windows or capped duty cycles</w:t>
            </w:r>
          </w:p>
        </w:tc>
        <w:tc>
          <w:tcPr>
            <w:tcW w:type="dxa" w:w="1994"/>
          </w:tcPr>
          <w:p>
            <w:r>
              <w:t>Operate on snapshots and publish a new map-plus-region-index snapshot atomically</w:t>
            </w:r>
          </w:p>
        </w:tc>
      </w:tr>
    </w:tbl>
    <w:p>
      <w:pPr>
        <w:spacing w:after="120"/>
      </w:pPr>
      <w:r>
        <w:t>Recommended queue priority is inference &gt; interactive training &gt; silent batch training &gt; background maintenance. Inference should never wait on full force-directed map updates or compaction jobs; it should read a stable snapshot and continue.</w:t>
      </w:r>
    </w:p>
    <w:p>
      <w:pPr>
        <w:pStyle w:val="Small"/>
      </w:pPr>
      <w:r>
        <w:rPr>
          <w:sz w:val="20"/>
        </w:rPr>
        <w:t>Implementation note. In a Rust-first implementation, use ArcSwap or an equivalent atomic pointer-swap pattern for the Layer 4 memory snapshot and the Layer 5-6 map/index snapshot so inference can read consistent structures without blocking on maintenance passes.</w:t>
      </w:r>
    </w:p>
    <w:p>
      <w:pPr>
        <w:pStyle w:val="Heading2"/>
      </w:pPr>
      <w:r>
        <w:t>Error Handling and Recovery Matrix</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F4E3D7"/>
          </w:tcPr>
          <w:p>
            <w:pPr>
              <w:spacing w:after="60" w:before="0"/>
            </w:pPr>
            <w:r>
              <w:rPr>
                <w:b/>
                <w:sz w:val="18"/>
              </w:rPr>
              <w:t>Layer / Subsystem</w:t>
            </w:r>
          </w:p>
        </w:tc>
        <w:tc>
          <w:tcPr>
            <w:tcW w:type="dxa" w:w="2493"/>
            <w:shd w:fill="F4E3D7"/>
          </w:tcPr>
          <w:p>
            <w:pPr>
              <w:spacing w:after="60" w:before="0"/>
            </w:pPr>
            <w:r>
              <w:rPr>
                <w:b/>
                <w:sz w:val="18"/>
              </w:rPr>
              <w:t>Failure Mode</w:t>
            </w:r>
          </w:p>
        </w:tc>
        <w:tc>
          <w:tcPr>
            <w:tcW w:type="dxa" w:w="2493"/>
            <w:shd w:fill="F4E3D7"/>
          </w:tcPr>
          <w:p>
            <w:pPr>
              <w:spacing w:after="60" w:before="0"/>
            </w:pPr>
            <w:r>
              <w:rPr>
                <w:b/>
                <w:sz w:val="18"/>
              </w:rPr>
              <w:t>Immediate Fallback</w:t>
            </w:r>
          </w:p>
        </w:tc>
        <w:tc>
          <w:tcPr>
            <w:tcW w:type="dxa" w:w="2493"/>
            <w:shd w:fill="F4E3D7"/>
          </w:tcPr>
          <w:p>
            <w:pPr>
              <w:spacing w:after="60" w:before="0"/>
            </w:pPr>
            <w:r>
              <w:rPr>
                <w:b/>
                <w:sz w:val="18"/>
              </w:rPr>
              <w:t>Recovery Strategy</w:t>
            </w:r>
          </w:p>
        </w:tc>
      </w:tr>
      <w:tr>
        <w:tc>
          <w:tcPr>
            <w:tcW w:type="dxa" w:w="2493"/>
          </w:tcPr>
          <w:p>
            <w:pPr>
              <w:spacing w:after="60" w:before="0"/>
            </w:pPr>
            <w:r>
              <w:rPr>
                <w:sz w:val="18"/>
              </w:rPr>
              <w:t>Layer 5 - 3D map</w:t>
            </w:r>
          </w:p>
        </w:tc>
        <w:tc>
          <w:tcPr>
            <w:tcW w:type="dxa" w:w="2493"/>
          </w:tcPr>
          <w:p>
            <w:pPr>
              <w:spacing w:after="60" w:before="0"/>
            </w:pPr>
            <w:r>
              <w:rPr>
                <w:sz w:val="18"/>
              </w:rPr>
              <w:t>Force-directed update diverges or yields unstable displacement</w:t>
            </w:r>
          </w:p>
        </w:tc>
        <w:tc>
          <w:tcPr>
            <w:tcW w:type="dxa" w:w="2493"/>
          </w:tcPr>
          <w:p>
            <w:pPr>
              <w:spacing w:after="60" w:before="0"/>
            </w:pPr>
            <w:r>
              <w:rPr>
                <w:sz w:val="18"/>
              </w:rPr>
              <w:t>Freeze map positions and continue on last stable snapshot</w:t>
            </w:r>
          </w:p>
        </w:tc>
        <w:tc>
          <w:tcPr>
            <w:tcW w:type="dxa" w:w="2493"/>
          </w:tcPr>
          <w:p>
            <w:pPr>
              <w:spacing w:after="60" w:before="0"/>
            </w:pPr>
            <w:r>
              <w:rPr>
                <w:sz w:val="18"/>
              </w:rPr>
              <w:t>Rollback to previous snapshot, lower step size / edge tension, re-run in background</w:t>
            </w:r>
          </w:p>
        </w:tc>
      </w:tr>
      <w:tr>
        <w:tc>
          <w:tcPr>
            <w:tcW w:type="dxa" w:w="2493"/>
          </w:tcPr>
          <w:p>
            <w:pPr>
              <w:spacing w:after="60" w:before="0"/>
            </w:pPr>
            <w:r>
              <w:rPr>
                <w:sz w:val="18"/>
              </w:rPr>
              <w:t>Layer 9 - retrieval gate</w:t>
            </w:r>
          </w:p>
        </w:tc>
        <w:tc>
          <w:tcPr>
            <w:tcW w:type="dxa" w:w="2493"/>
          </w:tcPr>
          <w:p>
            <w:pPr>
              <w:spacing w:after="60" w:before="0"/>
            </w:pPr>
            <w:r>
              <w:rPr>
                <w:sz w:val="18"/>
              </w:rPr>
              <w:t>Misfire or malformed gating score</w:t>
            </w:r>
          </w:p>
        </w:tc>
        <w:tc>
          <w:tcPr>
            <w:tcW w:type="dxa" w:w="2493"/>
          </w:tcPr>
          <w:p>
            <w:pPr>
              <w:spacing w:after="60" w:before="0"/>
            </w:pPr>
            <w:r>
              <w:rPr>
                <w:sz w:val="18"/>
              </w:rPr>
              <w:t>Default to conservative no-retrieval for static tasks; allow forced retrieval for dynamic domains</w:t>
            </w:r>
          </w:p>
        </w:tc>
        <w:tc>
          <w:tcPr>
            <w:tcW w:type="dxa" w:w="2493"/>
          </w:tcPr>
          <w:p>
            <w:pPr>
              <w:spacing w:after="60" w:before="0"/>
            </w:pPr>
            <w:r>
              <w:rPr>
                <w:sz w:val="18"/>
              </w:rPr>
              <w:t>Log gating features, replay against labeled set, update weights or thresholds</w:t>
            </w:r>
          </w:p>
        </w:tc>
      </w:tr>
      <w:tr>
        <w:tc>
          <w:tcPr>
            <w:tcW w:type="dxa" w:w="2493"/>
          </w:tcPr>
          <w:p>
            <w:pPr>
              <w:spacing w:after="60" w:before="0"/>
            </w:pPr>
            <w:r>
              <w:rPr>
                <w:sz w:val="18"/>
              </w:rPr>
              <w:t>Layer 11 - external retrieval</w:t>
            </w:r>
          </w:p>
        </w:tc>
        <w:tc>
          <w:tcPr>
            <w:tcW w:type="dxa" w:w="2493"/>
          </w:tcPr>
          <w:p>
            <w:pPr>
              <w:spacing w:after="60" w:before="0"/>
            </w:pPr>
            <w:r>
              <w:rPr>
                <w:sz w:val="18"/>
              </w:rPr>
              <w:t>Timeout or source error</w:t>
            </w:r>
          </w:p>
        </w:tc>
        <w:tc>
          <w:tcPr>
            <w:tcW w:type="dxa" w:w="2493"/>
          </w:tcPr>
          <w:p>
            <w:pPr>
              <w:spacing w:after="60" w:before="0"/>
            </w:pPr>
            <w:r>
              <w:rPr>
                <w:sz w:val="18"/>
              </w:rPr>
              <w:t>Use cache if present; otherwise continue internal-only answer path</w:t>
            </w:r>
          </w:p>
        </w:tc>
        <w:tc>
          <w:tcPr>
            <w:tcW w:type="dxa" w:w="2493"/>
          </w:tcPr>
          <w:p>
            <w:pPr>
              <w:spacing w:after="60" w:before="0"/>
            </w:pPr>
            <w:r>
              <w:rPr>
                <w:sz w:val="18"/>
              </w:rPr>
              <w:t>Exponential backoff, source health tracking, and retry budget</w:t>
            </w:r>
          </w:p>
        </w:tc>
      </w:tr>
      <w:tr>
        <w:tc>
          <w:tcPr>
            <w:tcW w:type="dxa" w:w="2493"/>
          </w:tcPr>
          <w:p>
            <w:pPr>
              <w:spacing w:after="60" w:before="0"/>
            </w:pPr>
            <w:r>
              <w:rPr>
                <w:sz w:val="18"/>
              </w:rPr>
              <w:t>Layer 12 - external content ingestion</w:t>
            </w:r>
          </w:p>
        </w:tc>
        <w:tc>
          <w:tcPr>
            <w:tcW w:type="dxa" w:w="2493"/>
          </w:tcPr>
          <w:p>
            <w:pPr>
              <w:spacing w:after="60" w:before="0"/>
            </w:pPr>
            <w:r>
              <w:rPr>
                <w:sz w:val="18"/>
              </w:rPr>
              <w:t>Unreadable content, malformed HTML/PDF extraction, or injection patterns</w:t>
            </w:r>
          </w:p>
        </w:tc>
        <w:tc>
          <w:tcPr>
            <w:tcW w:type="dxa" w:w="2493"/>
          </w:tcPr>
          <w:p>
            <w:pPr>
              <w:spacing w:after="60" w:before="0"/>
            </w:pPr>
            <w:r>
              <w:rPr>
                <w:sz w:val="18"/>
              </w:rPr>
              <w:t>Drop unsafe spans and ingest only cleaned text segments</w:t>
            </w:r>
          </w:p>
        </w:tc>
        <w:tc>
          <w:tcPr>
            <w:tcW w:type="dxa" w:w="2493"/>
          </w:tcPr>
          <w:p>
            <w:pPr>
              <w:spacing w:after="60" w:before="0"/>
            </w:pPr>
            <w:r>
              <w:rPr>
                <w:sz w:val="18"/>
              </w:rPr>
              <w:t>Flag source, store warning in telemetry, and retry with alternate parser if needed</w:t>
            </w:r>
          </w:p>
        </w:tc>
      </w:tr>
      <w:tr>
        <w:tc>
          <w:tcPr>
            <w:tcW w:type="dxa" w:w="2493"/>
          </w:tcPr>
          <w:p>
            <w:pPr>
              <w:spacing w:after="60" w:before="0"/>
            </w:pPr>
            <w:r>
              <w:rPr>
                <w:sz w:val="18"/>
              </w:rPr>
              <w:t>Layer 18 - feedback commit</w:t>
            </w:r>
          </w:p>
        </w:tc>
        <w:tc>
          <w:tcPr>
            <w:tcW w:type="dxa" w:w="2493"/>
          </w:tcPr>
          <w:p>
            <w:pPr>
              <w:spacing w:after="60" w:before="0"/>
            </w:pPr>
            <w:r>
              <w:rPr>
                <w:sz w:val="18"/>
              </w:rPr>
              <w:t>Partial update commit or invalid promotion to core memory</w:t>
            </w:r>
          </w:p>
        </w:tc>
        <w:tc>
          <w:tcPr>
            <w:tcW w:type="dxa" w:w="2493"/>
          </w:tcPr>
          <w:p>
            <w:pPr>
              <w:spacing w:after="60" w:before="0"/>
            </w:pPr>
            <w:r>
              <w:rPr>
                <w:sz w:val="18"/>
              </w:rPr>
              <w:t>Abort durable commit and retain event log only</w:t>
            </w:r>
          </w:p>
        </w:tc>
        <w:tc>
          <w:tcPr>
            <w:tcW w:type="dxa" w:w="2493"/>
          </w:tcPr>
          <w:p>
            <w:pPr>
              <w:spacing w:after="60" w:before="0"/>
            </w:pPr>
            <w:r>
              <w:rPr>
                <w:sz w:val="18"/>
              </w:rPr>
              <w:t>Rebuild commit from append-only log with validation</w:t>
            </w:r>
          </w:p>
        </w:tc>
      </w:tr>
      <w:tr>
        <w:tc>
          <w:tcPr>
            <w:tcW w:type="dxa" w:w="2493"/>
          </w:tcPr>
          <w:p>
            <w:pPr>
              <w:spacing w:after="60" w:before="0"/>
            </w:pPr>
            <w:r>
              <w:rPr>
                <w:sz w:val="18"/>
              </w:rPr>
              <w:t>Layer 21 - pruning and archival</w:t>
            </w:r>
          </w:p>
        </w:tc>
        <w:tc>
          <w:tcPr>
            <w:tcW w:type="dxa" w:w="2493"/>
          </w:tcPr>
          <w:p>
            <w:pPr>
              <w:spacing w:after="60" w:before="0"/>
            </w:pPr>
            <w:r>
              <w:rPr>
                <w:sz w:val="18"/>
              </w:rPr>
              <w:t>Anchor mistakenly scheduled for deletion</w:t>
            </w:r>
          </w:p>
        </w:tc>
        <w:tc>
          <w:tcPr>
            <w:tcW w:type="dxa" w:w="2493"/>
          </w:tcPr>
          <w:p>
            <w:pPr>
              <w:spacing w:after="60" w:before="0"/>
            </w:pPr>
            <w:r>
              <w:rPr>
                <w:sz w:val="18"/>
              </w:rPr>
              <w:t>Restore from protected archive copy and block prune action</w:t>
            </w:r>
          </w:p>
        </w:tc>
        <w:tc>
          <w:tcPr>
            <w:tcW w:type="dxa" w:w="2493"/>
          </w:tcPr>
          <w:p>
            <w:pPr>
              <w:spacing w:after="60" w:before="0"/>
            </w:pPr>
            <w:r>
              <w:rPr>
                <w:sz w:val="18"/>
              </w:rPr>
              <w:t>Audit trail review plus stricter anchor-check heuristic</w:t>
            </w:r>
          </w:p>
        </w:tc>
      </w:tr>
    </w:tbl>
    <w:p>
      <w:pPr>
        <w:pStyle w:val="Heading2"/>
      </w:pPr>
      <w:r>
        <w:t>Persistence and Serialization</w:t>
      </w:r>
    </w:p>
    <w:p>
      <w:pPr>
        <w:spacing w:after="120"/>
      </w:pPr>
      <w:r>
        <w:t>A practical implementation should persist metadata separately from larger binary artifacts so frequent updates remain cheap while snapshots stay portable.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E6F1DF"/>
          </w:tcPr>
          <w:p>
            <w:pPr>
              <w:spacing w:after="60" w:before="0"/>
            </w:pPr>
            <w:r>
              <w:rPr>
                <w:b/>
                <w:sz w:val="18"/>
              </w:rPr>
              <w:t>Artifact</w:t>
            </w:r>
          </w:p>
        </w:tc>
        <w:tc>
          <w:tcPr>
            <w:tcW w:type="dxa" w:w="2493"/>
            <w:shd w:fill="E6F1DF"/>
          </w:tcPr>
          <w:p>
            <w:pPr>
              <w:spacing w:after="60" w:before="0"/>
            </w:pPr>
            <w:r>
              <w:rPr>
                <w:b/>
                <w:sz w:val="18"/>
              </w:rPr>
              <w:t>Recommended Format</w:t>
            </w:r>
          </w:p>
        </w:tc>
        <w:tc>
          <w:tcPr>
            <w:tcW w:type="dxa" w:w="2493"/>
            <w:shd w:fill="E6F1DF"/>
          </w:tcPr>
          <w:p>
            <w:pPr>
              <w:spacing w:after="60" w:before="0"/>
            </w:pPr>
            <w:r>
              <w:rPr>
                <w:b/>
                <w:sz w:val="18"/>
              </w:rPr>
              <w:t>Checkpoint / Refresh Cadence</w:t>
            </w:r>
          </w:p>
        </w:tc>
        <w:tc>
          <w:tcPr>
            <w:tcW w:type="dxa" w:w="2493"/>
            <w:shd w:fill="E6F1DF"/>
          </w:tcPr>
          <w:p>
            <w:pPr>
              <w:spacing w:after="60" w:before="0"/>
            </w:pPr>
            <w:r>
              <w:rPr>
                <w:b/>
                <w:sz w:val="18"/>
              </w:rPr>
              <w:t>Notes</w:t>
            </w:r>
          </w:p>
        </w:tc>
      </w:tr>
      <w:tr>
        <w:tc>
          <w:tcPr>
            <w:tcW w:type="dxa" w:w="2493"/>
          </w:tcPr>
          <w:p>
            <w:pPr>
              <w:spacing w:after="60" w:before="0"/>
            </w:pPr>
            <w:r>
              <w:rPr>
                <w:sz w:val="18"/>
              </w:rPr>
              <w:t>Core and episodic metadata</w:t>
            </w:r>
          </w:p>
        </w:tc>
        <w:tc>
          <w:tcPr>
            <w:tcW w:type="dxa" w:w="2493"/>
          </w:tcPr>
          <w:p>
            <w:pPr>
              <w:spacing w:after="60" w:before="0"/>
            </w:pPr>
            <w:r>
              <w:rPr>
                <w:sz w:val="18"/>
              </w:rPr>
              <w:t>SQLite or embedded key-value store</w:t>
            </w:r>
          </w:p>
        </w:tc>
        <w:tc>
          <w:tcPr>
            <w:tcW w:type="dxa" w:w="2493"/>
          </w:tcPr>
          <w:p>
            <w:pPr>
              <w:spacing w:after="60" w:before="0"/>
            </w:pPr>
            <w:r>
              <w:rPr>
                <w:sz w:val="18"/>
              </w:rPr>
              <w:t>Every durable commit or graceful shutdown</w:t>
            </w:r>
          </w:p>
        </w:tc>
        <w:tc>
          <w:tcPr>
            <w:tcW w:type="dxa" w:w="2493"/>
          </w:tcPr>
          <w:p>
            <w:pPr>
              <w:spacing w:after="60" w:before="0"/>
            </w:pPr>
            <w:r>
              <w:rPr>
                <w:sz w:val="18"/>
              </w:rPr>
              <w:t>Stores unit metadata, timestamps, utility, salience, and link references</w:t>
            </w:r>
          </w:p>
        </w:tc>
      </w:tr>
      <w:tr>
        <w:tc>
          <w:tcPr>
            <w:tcW w:type="dxa" w:w="2493"/>
          </w:tcPr>
          <w:p>
            <w:pPr>
              <w:spacing w:after="60" w:before="0"/>
            </w:pPr>
            <w:r>
              <w:rPr>
                <w:sz w:val="18"/>
              </w:rPr>
              <w:t>3D map positions and region index</w:t>
            </w:r>
          </w:p>
        </w:tc>
        <w:tc>
          <w:tcPr>
            <w:tcW w:type="dxa" w:w="2493"/>
          </w:tcPr>
          <w:p>
            <w:pPr>
              <w:spacing w:after="60" w:before="0"/>
            </w:pPr>
            <w:r>
              <w:rPr>
                <w:sz w:val="18"/>
              </w:rPr>
              <w:t>MessagePack or Protocol Buffers snapshot</w:t>
            </w:r>
          </w:p>
        </w:tc>
        <w:tc>
          <w:tcPr>
            <w:tcW w:type="dxa" w:w="2493"/>
          </w:tcPr>
          <w:p>
            <w:pPr>
              <w:spacing w:after="60" w:before="0"/>
            </w:pPr>
            <w:r>
              <w:rPr>
                <w:sz w:val="18"/>
              </w:rPr>
              <w:t>Every N accepted spatial updates or on idle-window completion</w:t>
            </w:r>
          </w:p>
        </w:tc>
        <w:tc>
          <w:tcPr>
            <w:tcW w:type="dxa" w:w="2493"/>
          </w:tcPr>
          <w:p>
            <w:pPr>
              <w:spacing w:after="60" w:before="0"/>
            </w:pPr>
            <w:r>
              <w:rPr>
                <w:sz w:val="18"/>
              </w:rPr>
              <w:t>Supports schema versioning and compact binary transport</w:t>
            </w:r>
          </w:p>
        </w:tc>
      </w:tr>
      <w:tr>
        <w:tc>
          <w:tcPr>
            <w:tcW w:type="dxa" w:w="2493"/>
          </w:tcPr>
          <w:p>
            <w:pPr>
              <w:spacing w:after="60" w:before="0"/>
            </w:pPr>
            <w:r>
              <w:rPr>
                <w:sz w:val="18"/>
              </w:rPr>
              <w:t>Context / anchor replay log</w:t>
            </w:r>
          </w:p>
        </w:tc>
        <w:tc>
          <w:tcPr>
            <w:tcW w:type="dxa" w:w="2493"/>
          </w:tcPr>
          <w:p>
            <w:pPr>
              <w:spacing w:after="60" w:before="0"/>
            </w:pPr>
            <w:r>
              <w:rPr>
                <w:sz w:val="18"/>
              </w:rPr>
              <w:t>Append-only event log</w:t>
            </w:r>
          </w:p>
        </w:tc>
        <w:tc>
          <w:tcPr>
            <w:tcW w:type="dxa" w:w="2493"/>
          </w:tcPr>
          <w:p>
            <w:pPr>
              <w:spacing w:after="60" w:before="0"/>
            </w:pPr>
            <w:r>
              <w:rPr>
                <w:sz w:val="18"/>
              </w:rPr>
              <w:t>Per request or per batch source</w:t>
            </w:r>
          </w:p>
        </w:tc>
        <w:tc>
          <w:tcPr>
            <w:tcW w:type="dxa" w:w="2493"/>
          </w:tcPr>
          <w:p>
            <w:pPr>
              <w:spacing w:after="60" w:before="0"/>
            </w:pPr>
            <w:r>
              <w:rPr>
                <w:sz w:val="18"/>
              </w:rPr>
              <w:t>Allows recovery after interrupted feedback commits</w:t>
            </w:r>
          </w:p>
        </w:tc>
      </w:tr>
      <w:tr>
        <w:tc>
          <w:tcPr>
            <w:tcW w:type="dxa" w:w="2493"/>
          </w:tcPr>
          <w:p>
            <w:pPr>
              <w:spacing w:after="60" w:before="0"/>
            </w:pPr>
            <w:r>
              <w:rPr>
                <w:sz w:val="18"/>
              </w:rPr>
              <w:t>Cold archive</w:t>
            </w:r>
          </w:p>
        </w:tc>
        <w:tc>
          <w:tcPr>
            <w:tcW w:type="dxa" w:w="2493"/>
          </w:tcPr>
          <w:p>
            <w:pPr>
              <w:spacing w:after="60" w:before="0"/>
            </w:pPr>
            <w:r>
              <w:rPr>
                <w:sz w:val="18"/>
              </w:rPr>
              <w:t>Compressed binary bundle plus manifest</w:t>
            </w:r>
          </w:p>
        </w:tc>
        <w:tc>
          <w:tcPr>
            <w:tcW w:type="dxa" w:w="2493"/>
          </w:tcPr>
          <w:p>
            <w:pPr>
              <w:spacing w:after="60" w:before="0"/>
            </w:pPr>
            <w:r>
              <w:rPr>
                <w:sz w:val="18"/>
              </w:rPr>
              <w:t>Daily or when size threshold is reached</w:t>
            </w:r>
          </w:p>
        </w:tc>
        <w:tc>
          <w:tcPr>
            <w:tcW w:type="dxa" w:w="2493"/>
          </w:tcPr>
          <w:p>
            <w:pPr>
              <w:spacing w:after="60" w:before="0"/>
            </w:pPr>
            <w:r>
              <w:rPr>
                <w:sz w:val="18"/>
              </w:rPr>
              <w:t>Used for restored anchors and low-utility historical units</w:t>
            </w:r>
          </w:p>
        </w:tc>
      </w:tr>
    </w:tbl>
    <w:p>
      <w:pPr>
        <w:spacing w:after="120"/>
      </w:pPr>
      <w:r>
        <w:t>Every persisted artifact should carry a schema version in its header to support migration. Suggested checkpoint cadence is every 1,000 inference events, after each silent training batch, and on shutdown.</w:t>
      </w:r>
    </w:p>
    <w:p>
      <w:pPr>
        <w:pStyle w:val="Heading2"/>
      </w:pPr>
      <w:r>
        <w:t>Recommended Dependencies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EAE0F5"/>
          </w:tcPr>
          <w:p>
            <w:pPr>
              <w:spacing w:after="60" w:before="0"/>
            </w:pPr>
            <w:r>
              <w:rPr>
                <w:b/>
                <w:sz w:val="18"/>
              </w:rPr>
              <w:t>Concern</w:t>
            </w:r>
          </w:p>
        </w:tc>
        <w:tc>
          <w:tcPr>
            <w:tcW w:type="dxa" w:w="2493"/>
            <w:shd w:fill="EAE0F5"/>
          </w:tcPr>
          <w:p>
            <w:pPr>
              <w:spacing w:after="60" w:before="0"/>
            </w:pPr>
            <w:r>
              <w:rPr>
                <w:b/>
                <w:sz w:val="18"/>
              </w:rPr>
              <w:t>Rust-First Recommendation</w:t>
            </w:r>
          </w:p>
        </w:tc>
        <w:tc>
          <w:tcPr>
            <w:tcW w:type="dxa" w:w="2493"/>
            <w:shd w:fill="EAE0F5"/>
          </w:tcPr>
          <w:p>
            <w:pPr>
              <w:spacing w:after="60" w:before="0"/>
            </w:pPr>
            <w:r>
              <w:rPr>
                <w:b/>
                <w:sz w:val="18"/>
              </w:rPr>
              <w:t>Python-Compatible Option</w:t>
            </w:r>
          </w:p>
        </w:tc>
        <w:tc>
          <w:tcPr>
            <w:tcW w:type="dxa" w:w="2493"/>
            <w:shd w:fill="EAE0F5"/>
          </w:tcPr>
          <w:p>
            <w:pPr>
              <w:spacing w:after="60" w:before="0"/>
            </w:pPr>
            <w:r>
              <w:rPr>
                <w:b/>
                <w:sz w:val="18"/>
              </w:rPr>
              <w:t>Reason</w:t>
            </w:r>
          </w:p>
        </w:tc>
      </w:tr>
      <w:tr>
        <w:tc>
          <w:tcPr>
            <w:tcW w:type="dxa" w:w="2493"/>
          </w:tcPr>
          <w:p>
            <w:pPr>
              <w:spacing w:after="60" w:before="0"/>
            </w:pPr>
            <w:r>
              <w:rPr>
                <w:sz w:val="18"/>
              </w:rPr>
              <w:t>Async runtime / queues</w:t>
            </w:r>
          </w:p>
        </w:tc>
        <w:tc>
          <w:tcPr>
            <w:tcW w:type="dxa" w:w="2493"/>
          </w:tcPr>
          <w:p>
            <w:pPr>
              <w:spacing w:after="60" w:before="0"/>
            </w:pPr>
            <w:r>
              <w:rPr>
                <w:sz w:val="18"/>
              </w:rPr>
              <w:t>tokio, crossbeam</w:t>
            </w:r>
          </w:p>
        </w:tc>
        <w:tc>
          <w:tcPr>
            <w:tcW w:type="dxa" w:w="2493"/>
          </w:tcPr>
          <w:p>
            <w:pPr>
              <w:spacing w:after="60" w:before="0"/>
            </w:pPr>
            <w:r>
              <w:rPr>
                <w:sz w:val="18"/>
              </w:rPr>
              <w:t>asyncio, celery / rq</w:t>
            </w:r>
          </w:p>
        </w:tc>
        <w:tc>
          <w:tcPr>
            <w:tcW w:type="dxa" w:w="2493"/>
          </w:tcPr>
          <w:p>
            <w:pPr>
              <w:spacing w:after="60" w:before="0"/>
            </w:pPr>
            <w:r>
              <w:rPr>
                <w:sz w:val="18"/>
              </w:rPr>
              <w:t>Supports isolated inference, training, and maintenance workers</w:t>
            </w:r>
          </w:p>
        </w:tc>
      </w:tr>
      <w:tr>
        <w:tc>
          <w:tcPr>
            <w:tcW w:type="dxa" w:w="2493"/>
          </w:tcPr>
          <w:p>
            <w:pPr>
              <w:spacing w:after="60" w:before="0"/>
            </w:pPr>
            <w:r>
              <w:rPr>
                <w:sz w:val="18"/>
              </w:rPr>
              <w:t>Vector / numeric operations</w:t>
            </w:r>
          </w:p>
        </w:tc>
        <w:tc>
          <w:tcPr>
            <w:tcW w:type="dxa" w:w="2493"/>
          </w:tcPr>
          <w:p>
            <w:pPr>
              <w:spacing w:after="60" w:before="0"/>
            </w:pPr>
            <w:r>
              <w:rPr>
                <w:sz w:val="18"/>
              </w:rPr>
              <w:t>ndarray, nalgebra</w:t>
            </w:r>
          </w:p>
        </w:tc>
        <w:tc>
          <w:tcPr>
            <w:tcW w:type="dxa" w:w="2493"/>
          </w:tcPr>
          <w:p>
            <w:pPr>
              <w:spacing w:after="60" w:before="0"/>
            </w:pPr>
            <w:r>
              <w:rPr>
                <w:sz w:val="18"/>
              </w:rPr>
              <w:t>NumPy</w:t>
            </w:r>
          </w:p>
        </w:tc>
        <w:tc>
          <w:tcPr>
            <w:tcW w:type="dxa" w:w="2493"/>
          </w:tcPr>
          <w:p>
            <w:pPr>
              <w:spacing w:after="60" w:before="0"/>
            </w:pPr>
            <w:r>
              <w:rPr>
                <w:sz w:val="18"/>
              </w:rPr>
              <w:t>Efficient scoring, region math, and lightweight map calculations</w:t>
            </w:r>
          </w:p>
        </w:tc>
      </w:tr>
      <w:tr>
        <w:tc>
          <w:tcPr>
            <w:tcW w:type="dxa" w:w="2493"/>
          </w:tcPr>
          <w:p>
            <w:pPr>
              <w:spacing w:after="60" w:before="0"/>
            </w:pPr>
            <w:r>
              <w:rPr>
                <w:sz w:val="18"/>
              </w:rPr>
              <w:t>Graph / layout routines</w:t>
            </w:r>
          </w:p>
        </w:tc>
        <w:tc>
          <w:tcPr>
            <w:tcW w:type="dxa" w:w="2493"/>
          </w:tcPr>
          <w:p>
            <w:pPr>
              <w:spacing w:after="60" w:before="0"/>
            </w:pPr>
            <w:r>
              <w:rPr>
                <w:sz w:val="18"/>
              </w:rPr>
              <w:t>petgraph with custom force-directed pass</w:t>
            </w:r>
          </w:p>
        </w:tc>
        <w:tc>
          <w:tcPr>
            <w:tcW w:type="dxa" w:w="2493"/>
          </w:tcPr>
          <w:p>
            <w:pPr>
              <w:spacing w:after="60" w:before="0"/>
            </w:pPr>
            <w:r>
              <w:rPr>
                <w:sz w:val="18"/>
              </w:rPr>
              <w:t>NetworkX for prototyping</w:t>
            </w:r>
          </w:p>
        </w:tc>
        <w:tc>
          <w:tcPr>
            <w:tcW w:type="dxa" w:w="2493"/>
          </w:tcPr>
          <w:p>
            <w:pPr>
              <w:spacing w:after="60" w:before="0"/>
            </w:pPr>
            <w:r>
              <w:rPr>
                <w:sz w:val="18"/>
              </w:rPr>
              <w:t>Supports Layer 5 energy-minimization updates</w:t>
            </w:r>
          </w:p>
        </w:tc>
      </w:tr>
      <w:tr>
        <w:tc>
          <w:tcPr>
            <w:tcW w:type="dxa" w:w="2493"/>
          </w:tcPr>
          <w:p>
            <w:pPr>
              <w:spacing w:after="60" w:before="0"/>
            </w:pPr>
            <w:r>
              <w:rPr>
                <w:sz w:val="18"/>
              </w:rPr>
              <w:t>HTTP retrieval clients</w:t>
            </w:r>
          </w:p>
        </w:tc>
        <w:tc>
          <w:tcPr>
            <w:tcW w:type="dxa" w:w="2493"/>
          </w:tcPr>
          <w:p>
            <w:pPr>
              <w:spacing w:after="60" w:before="0"/>
            </w:pPr>
            <w:r>
              <w:rPr>
                <w:sz w:val="18"/>
              </w:rPr>
              <w:t>reqwest</w:t>
            </w:r>
          </w:p>
        </w:tc>
        <w:tc>
          <w:tcPr>
            <w:tcW w:type="dxa" w:w="2493"/>
          </w:tcPr>
          <w:p>
            <w:pPr>
              <w:spacing w:after="60" w:before="0"/>
            </w:pPr>
            <w:r>
              <w:rPr>
                <w:sz w:val="18"/>
              </w:rPr>
              <w:t>httpx / aiohttp</w:t>
            </w:r>
          </w:p>
        </w:tc>
        <w:tc>
          <w:tcPr>
            <w:tcW w:type="dxa" w:w="2493"/>
          </w:tcPr>
          <w:p>
            <w:pPr>
              <w:spacing w:after="60" w:before="0"/>
            </w:pPr>
            <w:r>
              <w:rPr>
                <w:sz w:val="18"/>
              </w:rPr>
              <w:t>Timeouts, retries, and async retrieval handling</w:t>
            </w:r>
          </w:p>
        </w:tc>
      </w:tr>
      <w:tr>
        <w:tc>
          <w:tcPr>
            <w:tcW w:type="dxa" w:w="2493"/>
          </w:tcPr>
          <w:p>
            <w:pPr>
              <w:spacing w:after="60" w:before="0"/>
            </w:pPr>
            <w:r>
              <w:rPr>
                <w:sz w:val="18"/>
              </w:rPr>
              <w:t>Serialization</w:t>
            </w:r>
          </w:p>
        </w:tc>
        <w:tc>
          <w:tcPr>
            <w:tcW w:type="dxa" w:w="2493"/>
          </w:tcPr>
          <w:p>
            <w:pPr>
              <w:spacing w:after="60" w:before="0"/>
            </w:pPr>
            <w:r>
              <w:rPr>
                <w:sz w:val="18"/>
              </w:rPr>
              <w:t>serde + MessagePack / Protobuf</w:t>
            </w:r>
          </w:p>
        </w:tc>
        <w:tc>
          <w:tcPr>
            <w:tcW w:type="dxa" w:w="2493"/>
          </w:tcPr>
          <w:p>
            <w:pPr>
              <w:spacing w:after="60" w:before="0"/>
            </w:pPr>
            <w:r>
              <w:rPr>
                <w:sz w:val="18"/>
              </w:rPr>
              <w:t>pydantic + msgpack / protobuf</w:t>
            </w:r>
          </w:p>
        </w:tc>
        <w:tc>
          <w:tcPr>
            <w:tcW w:type="dxa" w:w="2493"/>
          </w:tcPr>
          <w:p>
            <w:pPr>
              <w:spacing w:after="60" w:before="0"/>
            </w:pPr>
            <w:r>
              <w:rPr>
                <w:sz w:val="18"/>
              </w:rPr>
              <w:t>Versioned, portable persistence</w:t>
            </w:r>
          </w:p>
        </w:tc>
      </w:tr>
      <w:tr>
        <w:tc>
          <w:tcPr>
            <w:tcW w:type="dxa" w:w="2493"/>
          </w:tcPr>
          <w:p>
            <w:pPr>
              <w:spacing w:after="60" w:before="0"/>
            </w:pPr>
            <w:r>
              <w:rPr>
                <w:sz w:val="18"/>
              </w:rPr>
              <w:t>Embedded metadata store</w:t>
            </w:r>
          </w:p>
        </w:tc>
        <w:tc>
          <w:tcPr>
            <w:tcW w:type="dxa" w:w="2493"/>
          </w:tcPr>
          <w:p>
            <w:pPr>
              <w:spacing w:after="60" w:before="0"/>
            </w:pPr>
            <w:r>
              <w:rPr>
                <w:sz w:val="18"/>
              </w:rPr>
              <w:t>SQLite via rusqlite or sled</w:t>
            </w:r>
          </w:p>
        </w:tc>
        <w:tc>
          <w:tcPr>
            <w:tcW w:type="dxa" w:w="2493"/>
          </w:tcPr>
          <w:p>
            <w:pPr>
              <w:spacing w:after="60" w:before="0"/>
            </w:pPr>
            <w:r>
              <w:rPr>
                <w:sz w:val="18"/>
              </w:rPr>
              <w:t>SQLite via sqlite3 / SQLModel</w:t>
            </w:r>
          </w:p>
        </w:tc>
        <w:tc>
          <w:tcPr>
            <w:tcW w:type="dxa" w:w="2493"/>
          </w:tcPr>
          <w:p>
            <w:pPr>
              <w:spacing w:after="60" w:before="0"/>
            </w:pPr>
            <w:r>
              <w:rPr>
                <w:sz w:val="18"/>
              </w:rPr>
              <w:t>Lightweight local persistence for edge deployment</w:t>
            </w:r>
          </w:p>
        </w:tc>
      </w:tr>
    </w:tbl>
    <w:p>
      <w:pPr>
        <w:pStyle w:val="Heading2"/>
      </w:pPr>
      <w:r>
        <w:t>Implementation Language Recommendation</w:t>
      </w:r>
    </w:p>
    <w:p>
      <w:pPr>
        <w:spacing w:after="120"/>
      </w:pPr>
      <w:r>
        <w:t>Rust is the primary implementation recommendation for the core engine because the architecture explicitly targets CPU-constrained, memory-governed, concurrency-sensitive deployment. Rust provides strong control over allocation, deterministic performance, and race-safe coordination for shared Layer 4, Layer 5, and Layer 21 state.</w:t>
      </w:r>
    </w:p>
    <w:p>
      <w:pPr>
        <w:pStyle w:val="ListBullet"/>
        <w:spacing w:after="40"/>
      </w:pPr>
      <w:r>
        <w:t>Use a Rust core for performance-critical layers: 1-8, 14-17, and 21.</w:t>
      </w:r>
    </w:p>
    <w:p>
      <w:pPr>
        <w:pStyle w:val="ListBullet"/>
        <w:spacing w:after="40"/>
      </w:pPr>
      <w:r>
        <w:t>Optionally expose a Python FastAPI or similar wrapper for HTTP APIs, evaluation tooling, and visualization.</w:t>
      </w:r>
    </w:p>
    <w:p>
      <w:pPr>
        <w:pStyle w:val="ListBullet"/>
        <w:spacing w:after="40"/>
      </w:pPr>
      <w:r>
        <w:t>Keep Silent Training Mode and background maintenance in the same Rust service or worker graph so memory budgets remain enforceable.</w:t>
      </w:r>
    </w:p>
    <w:p>
      <w:r>
        <w:br w:type="page"/>
      </w:r>
    </w:p>
    <w:p>
      <w:pPr>
        <w:pStyle w:val="Heading1"/>
      </w:pPr>
      <w:r>
        <w:rPr/>
        <w:t>Implementation Clarifications for Coding Agents</w:t>
      </w:r>
    </w:p>
    <w:p>
      <w:pPr/>
      <w:r>
        <w:rPr/>
        <w:t>The following clarifications convert remaining architectural constraints into baseline implementation defaults. These additions are intended to reduce coding-agent ambiguity while keeping all major coefficients and policies tunable through configuration.</w:t>
      </w:r>
    </w:p>
    <w:p>
      <w:pPr>
        <w:pStyle w:val="Heading2"/>
      </w:pPr>
      <w:r>
        <w:rPr/>
        <w:t>Layer 2 Baseline Pattern Discovery</w:t>
      </w:r>
    </w:p>
    <w:p>
      <w:pPr/>
      <w:r>
        <w:rPr/>
        <w:t>Use a rolling-hash discovery pass over byte windows of length 2 through 8 as the default MVP algorithm for repeated-pattern proposal. The builder should first count candidate windows with a bounded hash table, discard candidates below the configured minimum frequency, then admit only those whose utility score improves prediction or compression. This avoids O(n²) repeated-substring scans while remaining simple enough for CPU-bound deployment.</w:t>
      </w:r>
    </w:p>
    <w:p>
      <w:pPr>
        <w:pStyle w:val="Heading2"/>
      </w:pPr>
      <w:r>
        <w:rPr/>
        <w:t>Layer 5 Baseline Force Model</w:t>
      </w:r>
    </w:p>
    <w:p>
      <w:pPr/>
      <w:r>
        <w:rPr/>
        <w:t>The recommended default is a Fruchterman-Reingold style force-directed pass over a local subgraph. For connected units u and v at distance d, use attractive force Fa(d)=d²/k and repulsive force Fr(d)=k²/max(d, ε), where k is the preferred spacing constant and ε prevents singularity at very small distances. Apply capped displacement per iteration, stop when mean displacement falls below a configured tolerance or when a fixed iteration budget is reached, and rollback to the last stable snapshot if total layout energy increases monotonically across several passes.</w:t>
      </w:r>
    </w:p>
    <w:p>
      <w:pPr>
        <w:pStyle w:val="Heading2"/>
      </w:pPr>
      <w:r>
        <w:rPr/>
        <w:t>Layer 14 Baseline Candidate Scoring</w:t>
      </w:r>
    </w:p>
    <w:p>
      <w:pPr/>
      <w:r>
        <w:rPr/>
        <w:t>Use a normalized weighted score of the form Score = ws·spatial_fit + wc·context_fit + wq·sequence_fit + wt·transition_fit + wu·utility + wf·confidence + we·evidence_support, where each component is normalized to [0,1]. For MVP scoring, treat confidence as an explicit input feature rather than assuming it is absorbed by utility.</w:t>
      </w:r>
    </w:p>
    <w:p>
      <w:pPr>
        <w:pStyle w:val="Heading2"/>
      </w:pPr>
      <w:r>
        <w:rPr/>
        <w:t>Snapshotting and Background Maintenance</w:t>
      </w:r>
    </w:p>
    <w:p>
      <w:pPr/>
      <w:r>
        <w:rPr/>
        <w:t>Background maintenance must update Layer 6 whenever Layer 5 changes unit positions. For the MVP, rebuild the region index from scratch on each accepted map snapshot rather than attempting incremental Octree edits. The recommended worker responsibility is therefore Layers 5 and 6 together: apply deferred map corrections, rebuild the region index on snapshot commit, validate neighbor quality, then publish the new snapshot through ArcSwap so inference continues on a stable view.</w:t>
      </w:r>
    </w:p>
    <w:p>
      <w:pPr>
        <w:pStyle w:val="Heading2"/>
      </w:pPr>
      <w:r>
        <w:rPr/>
        <w:t>Serialization Defaults</w:t>
      </w:r>
    </w:p>
    <w:p>
      <w:pPr/>
      <w:r>
        <w:rPr/>
        <w:t>For the MVP, default to MessagePack for internal state snapshots and append-only logs because it is compact and easy to evolve for local persistence. Reserve Protocol Buffers for external APIs or cross-service contracts where explicit schemas and language interoperability are more valuable.</w:t>
      </w:r>
    </w:p>
    <w:p>
      <w:pPr>
        <w:pStyle w:val="Heading1"/>
      </w:pPr>
      <w:r>
        <w:t>Appendix A - Core Data Structures</w:t>
      </w:r>
    </w:p>
    <w:p>
      <w:pPr>
        <w:spacing w:after="120"/>
      </w:pPr>
      <w:r>
        <w:t>The following schemas are reference structures intended to eliminate ambiguity during implementation. Field names may vary by codebase, but semantics should remain stable.</w:t>
      </w:r>
    </w:p>
    <w:p>
      <w:pPr>
        <w:pStyle w:val="Heading2"/>
      </w:pPr>
      <w:r>
        <w:t>A1. Unit Schema</w:t>
      </w:r>
    </w:p>
    <w:p>
      <w:pPr>
        <w:pStyle w:val="Small"/>
      </w:pPr>
      <w:r>
        <w:rPr>
          <w:sz w:val="20"/>
        </w:rPr>
        <w:t>Implementation note. The generic links field should be treated as a typed edge collection rather than an undifferentiated list so hierarchy, semantic proximity, and sequence relations are not conflated during implementation.</w:t>
      </w:r>
    </w:p>
    <w:p>
      <w:pPr>
        <w:pStyle w:val="Heading2"/>
      </w:pPr>
      <w:r>
        <w:rPr/>
        <w:t>A1b. Link Schema</w:t>
      </w:r>
    </w:p>
    <w:p>
      <w:pPr/>
      <w:r>
        <w:rPr/>
        <w:t>Use typed links so Layer 3 hierarchy edges remain distinct from Layer 5 semantic-neighbor edges and Layer 8 sequence anchors.</w:t>
      </w:r>
    </w:p>
    <w:tbl>
      <w:tblPr>
        <w:tblW w:type="auto" w:w="0"/>
        <w:tblLook w:firstColumn="1" w:firstRow="1" w:lastColumn="0" w:lastRow="0" w:noHBand="0" w:noVBand="1" w:val="04A0"/>
      </w:tblPr>
      <w:tblGrid>
        <w:gridCol w:w="2493"/>
        <w:gridCol w:w="2493"/>
        <w:gridCol w:w="2493"/>
        <w:gridCol w:w="2493"/>
      </w:tblGrid>
      <w:tr>
        <w:tc>
          <w:tcPr>
            <w:tcW w:type="dxa" w:w="2493"/>
          </w:tcPr>
          <w:p>
            <w:r>
              <w:t>Field</w:t>
            </w:r>
          </w:p>
        </w:tc>
        <w:tc>
          <w:tcPr>
            <w:tcW w:type="dxa" w:w="2493"/>
          </w:tcPr>
          <w:p>
            <w:r>
              <w:t>Type</w:t>
            </w:r>
          </w:p>
        </w:tc>
        <w:tc>
          <w:tcPr>
            <w:tcW w:type="dxa" w:w="2493"/>
          </w:tcPr>
          <w:p>
            <w:r>
              <w:t>Description</w:t>
            </w:r>
          </w:p>
        </w:tc>
        <w:tc>
          <w:tcPr>
            <w:tcW w:type="dxa" w:w="2493"/>
          </w:tcPr>
          <w:p>
            <w:r>
              <w:t>Allowed Values / Notes</w:t>
            </w:r>
          </w:p>
        </w:tc>
      </w:tr>
      <w:tr>
        <w:tc>
          <w:tcPr>
            <w:tcW w:type="dxa" w:w="2493"/>
          </w:tcPr>
          <w:p>
            <w:r>
              <w:t>target_id</w:t>
            </w:r>
          </w:p>
        </w:tc>
        <w:tc>
          <w:tcPr>
            <w:tcW w:type="dxa" w:w="2493"/>
          </w:tcPr>
          <w:p>
            <w:r>
              <w:t>UUID / u128</w:t>
            </w:r>
          </w:p>
        </w:tc>
        <w:tc>
          <w:tcPr>
            <w:tcW w:type="dxa" w:w="2493"/>
          </w:tcPr>
          <w:p>
            <w:r>
              <w:t>Destination unit identifier</w:t>
            </w:r>
          </w:p>
        </w:tc>
        <w:tc>
          <w:tcPr>
            <w:tcW w:type="dxa" w:w="2493"/>
          </w:tcPr>
          <w:p>
            <w:r>
              <w:t>Required</w:t>
            </w:r>
          </w:p>
        </w:tc>
      </w:tr>
      <w:tr>
        <w:tc>
          <w:tcPr>
            <w:tcW w:type="dxa" w:w="2493"/>
          </w:tcPr>
          <w:p>
            <w:r>
              <w:t>edge_type</w:t>
            </w:r>
          </w:p>
        </w:tc>
        <w:tc>
          <w:tcPr>
            <w:tcW w:type="dxa" w:w="2493"/>
          </w:tcPr>
          <w:p>
            <w:r>
              <w:t>enum</w:t>
            </w:r>
          </w:p>
        </w:tc>
        <w:tc>
          <w:tcPr>
            <w:tcW w:type="dxa" w:w="2493"/>
          </w:tcPr>
          <w:p>
            <w:r>
              <w:t>Type of relationship represented by the link</w:t>
            </w:r>
          </w:p>
        </w:tc>
        <w:tc>
          <w:tcPr>
            <w:tcW w:type="dxa" w:w="2493"/>
          </w:tcPr>
          <w:p>
            <w:r>
              <w:t>Semantic, Parent, Child, Sequence, SourceEvidence</w:t>
            </w:r>
          </w:p>
        </w:tc>
      </w:tr>
      <w:tr>
        <w:tc>
          <w:tcPr>
            <w:tcW w:type="dxa" w:w="2493"/>
          </w:tcPr>
          <w:p>
            <w:r>
              <w:t>weight</w:t>
            </w:r>
          </w:p>
        </w:tc>
        <w:tc>
          <w:tcPr>
            <w:tcW w:type="dxa" w:w="2493"/>
          </w:tcPr>
          <w:p>
            <w:r>
              <w:t>f32</w:t>
            </w:r>
          </w:p>
        </w:tc>
        <w:tc>
          <w:tcPr>
            <w:tcW w:type="dxa" w:w="2493"/>
          </w:tcPr>
          <w:p>
            <w:r>
              <w:t>Strength or confidence of the link</w:t>
            </w:r>
          </w:p>
        </w:tc>
        <w:tc>
          <w:tcPr>
            <w:tcW w:type="dxa" w:w="2493"/>
          </w:tcPr>
          <w:p>
            <w:r>
              <w:t>0.0-1.0</w:t>
            </w:r>
          </w:p>
        </w:tc>
      </w:tr>
      <w:tr>
        <w:tc>
          <w:tcPr>
            <w:tcW w:type="dxa" w:w="2493"/>
          </w:tcPr>
          <w:p>
            <w:r>
              <w:t>updated_at</w:t>
            </w:r>
          </w:p>
        </w:tc>
        <w:tc>
          <w:tcPr>
            <w:tcW w:type="dxa" w:w="2493"/>
          </w:tcPr>
          <w:p>
            <w:r>
              <w:t>timestamp</w:t>
            </w:r>
          </w:p>
        </w:tc>
        <w:tc>
          <w:tcPr>
            <w:tcW w:type="dxa" w:w="2493"/>
          </w:tcPr>
          <w:p>
            <w:r>
              <w:t>Last reinforcement or revision time</w:t>
            </w:r>
          </w:p>
        </w:tc>
        <w:tc>
          <w:tcPr>
            <w:tcW w:type="dxa" w:w="2493"/>
          </w:tcPr>
          <w:p>
            <w:r>
              <w:t>Required</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D9EAF7"/>
          </w:tcPr>
          <w:p>
            <w:pPr>
              <w:spacing w:after="60" w:before="0"/>
            </w:pPr>
            <w:r>
              <w:rPr>
                <w:b/>
                <w:sz w:val="18"/>
              </w:rPr>
              <w:t>Field</w:t>
            </w:r>
          </w:p>
        </w:tc>
        <w:tc>
          <w:tcPr>
            <w:tcW w:type="dxa" w:w="2493"/>
            <w:shd w:fill="D9EAF7"/>
          </w:tcPr>
          <w:p>
            <w:pPr>
              <w:spacing w:after="60" w:before="0"/>
            </w:pPr>
            <w:r>
              <w:rPr>
                <w:b/>
                <w:sz w:val="18"/>
              </w:rPr>
              <w:t>Type</w:t>
            </w:r>
          </w:p>
        </w:tc>
        <w:tc>
          <w:tcPr>
            <w:tcW w:type="dxa" w:w="2493"/>
            <w:shd w:fill="D9EAF7"/>
          </w:tcPr>
          <w:p>
            <w:pPr>
              <w:spacing w:after="60" w:before="0"/>
            </w:pPr>
            <w:r>
              <w:rPr>
                <w:b/>
                <w:sz w:val="18"/>
              </w:rPr>
              <w:t>Description</w:t>
            </w:r>
          </w:p>
        </w:tc>
        <w:tc>
          <w:tcPr>
            <w:tcW w:type="dxa" w:w="2493"/>
            <w:shd w:fill="D9EAF7"/>
          </w:tcPr>
          <w:p>
            <w:pPr>
              <w:spacing w:after="60" w:before="0"/>
            </w:pPr>
            <w:r>
              <w:rPr>
                <w:b/>
                <w:sz w:val="18"/>
              </w:rPr>
              <w:t>Default / Notes</w:t>
            </w:r>
          </w:p>
        </w:tc>
      </w:tr>
      <w:tr>
        <w:tc>
          <w:tcPr>
            <w:tcW w:type="dxa" w:w="2493"/>
          </w:tcPr>
          <w:p>
            <w:pPr>
              <w:spacing w:after="60" w:before="0"/>
            </w:pPr>
            <w:r>
              <w:rPr>
                <w:sz w:val="18"/>
              </w:rPr>
              <w:t>id</w:t>
            </w:r>
          </w:p>
        </w:tc>
        <w:tc>
          <w:tcPr>
            <w:tcW w:type="dxa" w:w="2493"/>
          </w:tcPr>
          <w:p>
            <w:pPr>
              <w:spacing w:after="60" w:before="0"/>
            </w:pPr>
            <w:r>
              <w:rPr>
                <w:sz w:val="18"/>
              </w:rPr>
              <w:t>UUID / u128</w:t>
            </w:r>
          </w:p>
        </w:tc>
        <w:tc>
          <w:tcPr>
            <w:tcW w:type="dxa" w:w="2493"/>
          </w:tcPr>
          <w:p>
            <w:pPr>
              <w:spacing w:after="60" w:before="0"/>
            </w:pPr>
            <w:r>
              <w:rPr>
                <w:sz w:val="18"/>
              </w:rPr>
              <w:t>Stable unit identifier</w:t>
            </w:r>
          </w:p>
        </w:tc>
        <w:tc>
          <w:tcPr>
            <w:tcW w:type="dxa" w:w="2493"/>
          </w:tcPr>
          <w:p>
            <w:pPr>
              <w:spacing w:after="60" w:before="0"/>
            </w:pPr>
            <w:r>
              <w:rPr>
                <w:sz w:val="18"/>
              </w:rPr>
              <w:t>Auto-generated</w:t>
            </w:r>
          </w:p>
        </w:tc>
      </w:tr>
      <w:tr>
        <w:tc>
          <w:tcPr>
            <w:tcW w:type="dxa" w:w="2493"/>
          </w:tcPr>
          <w:p>
            <w:pPr>
              <w:spacing w:after="60" w:before="0"/>
            </w:pPr>
            <w:r>
              <w:rPr>
                <w:sz w:val="18"/>
              </w:rPr>
              <w:t>content</w:t>
            </w:r>
          </w:p>
        </w:tc>
        <w:tc>
          <w:tcPr>
            <w:tcW w:type="dxa" w:w="2493"/>
          </w:tcPr>
          <w:p>
            <w:pPr>
              <w:spacing w:after="60" w:before="0"/>
            </w:pPr>
            <w:r>
              <w:rPr>
                <w:sz w:val="18"/>
              </w:rPr>
              <w:t>bytes</w:t>
            </w:r>
          </w:p>
        </w:tc>
        <w:tc>
          <w:tcPr>
            <w:tcW w:type="dxa" w:w="2493"/>
          </w:tcPr>
          <w:p>
            <w:pPr>
              <w:spacing w:after="60" w:before="0"/>
            </w:pPr>
            <w:r>
              <w:rPr>
                <w:sz w:val="18"/>
              </w:rPr>
              <w:t>Raw byte or Unicode payload for the learned unit</w:t>
            </w:r>
          </w:p>
        </w:tc>
        <w:tc>
          <w:tcPr>
            <w:tcW w:type="dxa" w:w="2493"/>
          </w:tcPr>
          <w:p>
            <w:pPr>
              <w:spacing w:after="60" w:before="0"/>
            </w:pPr>
            <w:r>
              <w:rPr>
                <w:sz w:val="18"/>
              </w:rPr>
              <w:t>Required</w:t>
            </w:r>
          </w:p>
        </w:tc>
      </w:tr>
      <w:tr>
        <w:tc>
          <w:tcPr>
            <w:tcW w:type="dxa" w:w="2493"/>
          </w:tcPr>
          <w:p>
            <w:pPr>
              <w:spacing w:after="60" w:before="0"/>
            </w:pPr>
            <w:r>
              <w:rPr>
                <w:sz w:val="18"/>
              </w:rPr>
              <w:t>frequency</w:t>
            </w:r>
          </w:p>
        </w:tc>
        <w:tc>
          <w:tcPr>
            <w:tcW w:type="dxa" w:w="2493"/>
          </w:tcPr>
          <w:p>
            <w:pPr>
              <w:spacing w:after="60" w:before="0"/>
            </w:pPr>
            <w:r>
              <w:rPr>
                <w:sz w:val="18"/>
              </w:rPr>
              <w:t>u64</w:t>
            </w:r>
          </w:p>
        </w:tc>
        <w:tc>
          <w:tcPr>
            <w:tcW w:type="dxa" w:w="2493"/>
          </w:tcPr>
          <w:p>
            <w:pPr>
              <w:spacing w:after="60" w:before="0"/>
            </w:pPr>
            <w:r>
              <w:rPr>
                <w:sz w:val="18"/>
              </w:rPr>
              <w:t>Observation count</w:t>
            </w:r>
          </w:p>
        </w:tc>
        <w:tc>
          <w:tcPr>
            <w:tcW w:type="dxa" w:w="2493"/>
          </w:tcPr>
          <w:p>
            <w:pPr>
              <w:spacing w:after="60" w:before="0"/>
            </w:pPr>
            <w:r>
              <w:rPr>
                <w:sz w:val="18"/>
              </w:rPr>
              <w:t>0</w:t>
            </w:r>
          </w:p>
        </w:tc>
      </w:tr>
      <w:tr>
        <w:tc>
          <w:tcPr>
            <w:tcW w:type="dxa" w:w="2493"/>
          </w:tcPr>
          <w:p>
            <w:pPr>
              <w:spacing w:after="60" w:before="0"/>
            </w:pPr>
            <w:r>
              <w:rPr>
                <w:sz w:val="18"/>
              </w:rPr>
              <w:t>utility_score</w:t>
            </w:r>
          </w:p>
        </w:tc>
        <w:tc>
          <w:tcPr>
            <w:tcW w:type="dxa" w:w="2493"/>
          </w:tcPr>
          <w:p>
            <w:pPr>
              <w:spacing w:after="60" w:before="0"/>
            </w:pPr>
            <w:r>
              <w:rPr>
                <w:sz w:val="18"/>
              </w:rPr>
              <w:t>f32</w:t>
            </w:r>
          </w:p>
        </w:tc>
        <w:tc>
          <w:tcPr>
            <w:tcW w:type="dxa" w:w="2493"/>
          </w:tcPr>
          <w:p>
            <w:pPr>
              <w:spacing w:after="60" w:before="0"/>
            </w:pPr>
            <w:r>
              <w:rPr>
                <w:sz w:val="18"/>
              </w:rPr>
              <w:t>Pruning and promotion priority</w:t>
            </w:r>
          </w:p>
        </w:tc>
        <w:tc>
          <w:tcPr>
            <w:tcW w:type="dxa" w:w="2493"/>
          </w:tcPr>
          <w:p>
            <w:pPr>
              <w:spacing w:after="60" w:before="0"/>
            </w:pPr>
            <w:r>
              <w:rPr>
                <w:sz w:val="18"/>
              </w:rPr>
              <w:t>0.5 baseline</w:t>
            </w:r>
          </w:p>
        </w:tc>
      </w:tr>
      <w:tr>
        <w:tc>
          <w:tcPr>
            <w:tcW w:type="dxa" w:w="2493"/>
          </w:tcPr>
          <w:p>
            <w:pPr>
              <w:spacing w:after="60" w:before="0"/>
            </w:pPr>
            <w:r>
              <w:rPr>
                <w:sz w:val="18"/>
              </w:rPr>
              <w:t>semantic_position</w:t>
            </w:r>
          </w:p>
        </w:tc>
        <w:tc>
          <w:tcPr>
            <w:tcW w:type="dxa" w:w="2493"/>
          </w:tcPr>
          <w:p>
            <w:pPr>
              <w:spacing w:after="60" w:before="0"/>
            </w:pPr>
            <w:r>
              <w:rPr>
                <w:sz w:val="18"/>
              </w:rPr>
              <w:t>Vector3&lt;f32&gt;</w:t>
            </w:r>
          </w:p>
        </w:tc>
        <w:tc>
          <w:tcPr>
            <w:tcW w:type="dxa" w:w="2493"/>
          </w:tcPr>
          <w:p>
            <w:pPr>
              <w:spacing w:after="60" w:before="0"/>
            </w:pPr>
            <w:r>
              <w:rPr>
                <w:sz w:val="18"/>
              </w:rPr>
              <w:t>3D coarse-map location</w:t>
            </w:r>
          </w:p>
        </w:tc>
        <w:tc>
          <w:tcPr>
            <w:tcW w:type="dxa" w:w="2493"/>
          </w:tcPr>
          <w:p>
            <w:pPr>
              <w:spacing w:after="60" w:before="0"/>
            </w:pPr>
            <w:r>
              <w:rPr>
                <w:sz w:val="18"/>
              </w:rPr>
              <w:t>[0,0,0] until placed</w:t>
            </w:r>
          </w:p>
        </w:tc>
      </w:tr>
      <w:tr>
        <w:tc>
          <w:tcPr>
            <w:tcW w:type="dxa" w:w="2493"/>
          </w:tcPr>
          <w:p>
            <w:pPr>
              <w:spacing w:after="60" w:before="0"/>
            </w:pPr>
            <w:r>
              <w:rPr>
                <w:sz w:val="18"/>
              </w:rPr>
              <w:t>anchor_status</w:t>
            </w:r>
          </w:p>
        </w:tc>
        <w:tc>
          <w:tcPr>
            <w:tcW w:type="dxa" w:w="2493"/>
          </w:tcPr>
          <w:p>
            <w:pPr>
              <w:spacing w:after="60" w:before="0"/>
            </w:pPr>
            <w:r>
              <w:rPr>
                <w:sz w:val="18"/>
              </w:rPr>
              <w:t>bool</w:t>
            </w:r>
          </w:p>
        </w:tc>
        <w:tc>
          <w:tcPr>
            <w:tcW w:type="dxa" w:w="2493"/>
          </w:tcPr>
          <w:p>
            <w:pPr>
              <w:spacing w:after="60" w:before="0"/>
            </w:pPr>
            <w:r>
              <w:rPr>
                <w:sz w:val="18"/>
              </w:rPr>
              <w:t>Protected from ordinary pruning</w:t>
            </w:r>
          </w:p>
        </w:tc>
        <w:tc>
          <w:tcPr>
            <w:tcW w:type="dxa" w:w="2493"/>
          </w:tcPr>
          <w:p>
            <w:pPr>
              <w:spacing w:after="60" w:before="0"/>
            </w:pPr>
            <w:r>
              <w:rPr>
                <w:sz w:val="18"/>
              </w:rPr>
              <w:t>false</w:t>
            </w:r>
          </w:p>
        </w:tc>
      </w:tr>
      <w:tr>
        <w:tc>
          <w:tcPr>
            <w:tcW w:type="dxa" w:w="2493"/>
          </w:tcPr>
          <w:p>
            <w:pPr>
              <w:spacing w:after="60" w:before="0"/>
            </w:pPr>
            <w:r>
              <w:rPr>
                <w:sz w:val="18"/>
              </w:rPr>
              <w:t>memory_type</w:t>
            </w:r>
          </w:p>
        </w:tc>
        <w:tc>
          <w:tcPr>
            <w:tcW w:type="dxa" w:w="2493"/>
          </w:tcPr>
          <w:p>
            <w:pPr>
              <w:spacing w:after="60" w:before="0"/>
            </w:pPr>
            <w:r>
              <w:rPr>
                <w:sz w:val="18"/>
              </w:rPr>
              <w:t>enum {episodic, core}</w:t>
            </w:r>
          </w:p>
        </w:tc>
        <w:tc>
          <w:tcPr>
            <w:tcW w:type="dxa" w:w="2493"/>
          </w:tcPr>
          <w:p>
            <w:pPr>
              <w:spacing w:after="60" w:before="0"/>
            </w:pPr>
            <w:r>
              <w:rPr>
                <w:sz w:val="18"/>
              </w:rPr>
              <w:t>Storage tier assignment</w:t>
            </w:r>
          </w:p>
        </w:tc>
        <w:tc>
          <w:tcPr>
            <w:tcW w:type="dxa" w:w="2493"/>
          </w:tcPr>
          <w:p>
            <w:pPr>
              <w:spacing w:after="60" w:before="0"/>
            </w:pPr>
            <w:r>
              <w:rPr>
                <w:sz w:val="18"/>
              </w:rPr>
              <w:t>episodic</w:t>
            </w:r>
          </w:p>
        </w:tc>
      </w:tr>
      <w:tr>
        <w:tc>
          <w:tcPr>
            <w:tcW w:type="dxa" w:w="2493"/>
          </w:tcPr>
          <w:p>
            <w:pPr>
              <w:spacing w:after="60" w:before="0"/>
            </w:pPr>
            <w:r>
              <w:rPr>
                <w:sz w:val="18"/>
              </w:rPr>
              <w:t>created_at</w:t>
            </w:r>
          </w:p>
        </w:tc>
        <w:tc>
          <w:tcPr>
            <w:tcW w:type="dxa" w:w="2493"/>
          </w:tcPr>
          <w:p>
            <w:pPr>
              <w:spacing w:after="60" w:before="0"/>
            </w:pPr>
            <w:r>
              <w:rPr>
                <w:sz w:val="18"/>
              </w:rPr>
              <w:t>timestamp</w:t>
            </w:r>
          </w:p>
        </w:tc>
        <w:tc>
          <w:tcPr>
            <w:tcW w:type="dxa" w:w="2493"/>
          </w:tcPr>
          <w:p>
            <w:pPr>
              <w:spacing w:after="60" w:before="0"/>
            </w:pPr>
            <w:r>
              <w:rPr>
                <w:sz w:val="18"/>
              </w:rPr>
              <w:t>First discovery time</w:t>
            </w:r>
          </w:p>
        </w:tc>
        <w:tc>
          <w:tcPr>
            <w:tcW w:type="dxa" w:w="2493"/>
          </w:tcPr>
          <w:p>
            <w:pPr>
              <w:spacing w:after="60" w:before="0"/>
            </w:pPr>
            <w:r>
              <w:rPr>
                <w:sz w:val="18"/>
              </w:rPr>
              <w:t>Required</w:t>
            </w:r>
          </w:p>
        </w:tc>
      </w:tr>
      <w:tr>
        <w:tc>
          <w:tcPr>
            <w:tcW w:type="dxa" w:w="2493"/>
          </w:tcPr>
          <w:p>
            <w:pPr>
              <w:spacing w:after="60" w:before="0"/>
            </w:pPr>
            <w:r>
              <w:rPr>
                <w:sz w:val="18"/>
              </w:rPr>
              <w:t>updated_at</w:t>
            </w:r>
          </w:p>
        </w:tc>
        <w:tc>
          <w:tcPr>
            <w:tcW w:type="dxa" w:w="2493"/>
          </w:tcPr>
          <w:p>
            <w:pPr>
              <w:spacing w:after="60" w:before="0"/>
            </w:pPr>
            <w:r>
              <w:rPr>
                <w:sz w:val="18"/>
              </w:rPr>
              <w:t>timestamp</w:t>
            </w:r>
          </w:p>
        </w:tc>
        <w:tc>
          <w:tcPr>
            <w:tcW w:type="dxa" w:w="2493"/>
          </w:tcPr>
          <w:p>
            <w:pPr>
              <w:spacing w:after="60" w:before="0"/>
            </w:pPr>
            <w:r>
              <w:rPr>
                <w:sz w:val="18"/>
              </w:rPr>
              <w:t>Most recent access or modification</w:t>
            </w:r>
          </w:p>
        </w:tc>
        <w:tc>
          <w:tcPr>
            <w:tcW w:type="dxa" w:w="2493"/>
          </w:tcPr>
          <w:p>
            <w:pPr>
              <w:spacing w:after="60" w:before="0"/>
            </w:pPr>
            <w:r>
              <w:rPr>
                <w:sz w:val="18"/>
              </w:rPr>
              <w:t>Required</w:t>
            </w:r>
          </w:p>
        </w:tc>
      </w:tr>
      <w:tr>
        <w:tc>
          <w:tcPr>
            <w:tcW w:type="dxa" w:w="2493"/>
          </w:tcPr>
          <w:p>
            <w:pPr>
              <w:spacing w:after="60" w:before="0"/>
            </w:pPr>
            <w:r>
              <w:rPr>
                <w:sz w:val="18"/>
              </w:rPr>
              <w:t>salience_score</w:t>
            </w:r>
          </w:p>
        </w:tc>
        <w:tc>
          <w:tcPr>
            <w:tcW w:type="dxa" w:w="2493"/>
          </w:tcPr>
          <w:p>
            <w:pPr>
              <w:spacing w:after="60" w:before="0"/>
            </w:pPr>
            <w:r>
              <w:rPr>
                <w:sz w:val="18"/>
              </w:rPr>
              <w:t>f32</w:t>
            </w:r>
          </w:p>
        </w:tc>
        <w:tc>
          <w:tcPr>
            <w:tcW w:type="dxa" w:w="2493"/>
          </w:tcPr>
          <w:p>
            <w:pPr>
              <w:spacing w:after="60" w:before="0"/>
            </w:pPr>
            <w:r>
              <w:rPr>
                <w:sz w:val="18"/>
              </w:rPr>
              <w:t>Current long-range relevance signal</w:t>
            </w:r>
          </w:p>
        </w:tc>
        <w:tc>
          <w:tcPr>
            <w:tcW w:type="dxa" w:w="2493"/>
          </w:tcPr>
          <w:p>
            <w:pPr>
              <w:spacing w:after="60" w:before="0"/>
            </w:pPr>
            <w:r>
              <w:rPr>
                <w:sz w:val="18"/>
              </w:rPr>
              <w:t>0.0</w:t>
            </w:r>
          </w:p>
        </w:tc>
      </w:tr>
      <w:tr>
        <w:tc>
          <w:tcPr>
            <w:tcW w:type="dxa" w:w="2493"/>
          </w:tcPr>
          <w:p>
            <w:pPr>
              <w:spacing w:after="60" w:before="0"/>
            </w:pPr>
            <w:r>
              <w:rPr>
                <w:sz w:val="18"/>
              </w:rPr>
              <w:t>confidence</w:t>
            </w:r>
          </w:p>
        </w:tc>
        <w:tc>
          <w:tcPr>
            <w:tcW w:type="dxa" w:w="2493"/>
          </w:tcPr>
          <w:p>
            <w:pPr>
              <w:spacing w:after="60" w:before="0"/>
            </w:pPr>
            <w:r>
              <w:rPr>
                <w:sz w:val="18"/>
              </w:rPr>
              <w:t>f32</w:t>
            </w:r>
          </w:p>
        </w:tc>
        <w:tc>
          <w:tcPr>
            <w:tcW w:type="dxa" w:w="2493"/>
          </w:tcPr>
          <w:p>
            <w:pPr>
              <w:spacing w:after="60" w:before="0"/>
            </w:pPr>
            <w:r>
              <w:rPr>
                <w:sz w:val="18"/>
              </w:rPr>
              <w:t>Confidence in durability / truthfulness</w:t>
            </w:r>
          </w:p>
        </w:tc>
        <w:tc>
          <w:tcPr>
            <w:tcW w:type="dxa" w:w="2493"/>
          </w:tcPr>
          <w:p>
            <w:pPr>
              <w:spacing w:after="60" w:before="0"/>
            </w:pPr>
            <w:r>
              <w:rPr>
                <w:sz w:val="18"/>
              </w:rPr>
              <w:t>0.5</w:t>
            </w:r>
          </w:p>
        </w:tc>
      </w:tr>
      <w:tr>
        <w:tc>
          <w:tcPr>
            <w:tcW w:type="dxa" w:w="2493"/>
          </w:tcPr>
          <w:p>
            <w:pPr>
              <w:spacing w:after="60" w:before="0"/>
            </w:pPr>
            <w:r>
              <w:rPr>
                <w:sz w:val="18"/>
              </w:rPr>
              <w:t>links</w:t>
            </w:r>
          </w:p>
        </w:tc>
        <w:tc>
          <w:tcPr>
            <w:tcW w:type="dxa" w:w="2493"/>
          </w:tcPr>
          <w:p>
            <w:pPr>
              <w:spacing w:after="60" w:before="0"/>
            </w:pPr>
            <w:r>
              <w:rPr>
                <w:sz w:val="18"/>
              </w:rPr>
              <w:t>List&lt;UnitID&gt;</w:t>
            </w:r>
          </w:p>
        </w:tc>
        <w:tc>
          <w:tcPr>
            <w:tcW w:type="dxa" w:w="2493"/>
          </w:tcPr>
          <w:p>
            <w:pPr>
              <w:spacing w:after="60" w:before="0"/>
            </w:pPr>
            <w:r>
              <w:rPr>
                <w:sz w:val="18"/>
              </w:rPr>
              <w:t>Adjacent or semantically linked units</w:t>
            </w:r>
          </w:p>
        </w:tc>
        <w:tc>
          <w:tcPr>
            <w:tcW w:type="dxa" w:w="2493"/>
          </w:tcPr>
          <w:p>
            <w:pPr>
              <w:spacing w:after="60" w:before="0"/>
            </w:pPr>
            <w:r>
              <w:rPr>
                <w:sz w:val="18"/>
              </w:rPr>
              <w:t>[]</w:t>
            </w:r>
          </w:p>
        </w:tc>
      </w:tr>
    </w:tbl>
    <w:p>
      <w:pPr>
        <w:pStyle w:val="Heading2"/>
      </w:pPr>
      <w:r>
        <w:t>A2. Memory Store Schema</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DDEBF7"/>
          </w:tcPr>
          <w:p>
            <w:pPr>
              <w:spacing w:after="60" w:before="0"/>
            </w:pPr>
            <w:r>
              <w:rPr>
                <w:b/>
                <w:sz w:val="18"/>
              </w:rPr>
              <w:t>Store</w:t>
            </w:r>
          </w:p>
        </w:tc>
        <w:tc>
          <w:tcPr>
            <w:tcW w:type="dxa" w:w="1994"/>
            <w:shd w:fill="DDEBF7"/>
          </w:tcPr>
          <w:p>
            <w:pPr>
              <w:spacing w:after="60" w:before="0"/>
            </w:pPr>
            <w:r>
              <w:rPr>
                <w:b/>
                <w:sz w:val="18"/>
              </w:rPr>
              <w:t>Required Fields</w:t>
            </w:r>
          </w:p>
        </w:tc>
        <w:tc>
          <w:tcPr>
            <w:tcW w:type="dxa" w:w="1994"/>
            <w:shd w:fill="DDEBF7"/>
          </w:tcPr>
          <w:p>
            <w:pPr>
              <w:spacing w:after="60" w:before="0"/>
            </w:pPr>
            <w:r>
              <w:rPr>
                <w:b/>
                <w:sz w:val="18"/>
              </w:rPr>
              <w:t>Promotion / Decay</w:t>
            </w:r>
          </w:p>
        </w:tc>
        <w:tc>
          <w:tcPr>
            <w:tcW w:type="dxa" w:w="1994"/>
            <w:shd w:fill="DDEBF7"/>
          </w:tcPr>
          <w:p>
            <w:pPr>
              <w:spacing w:after="60" w:before="0"/>
            </w:pPr>
            <w:r>
              <w:rPr>
                <w:b/>
                <w:sz w:val="18"/>
              </w:rPr>
              <w:t>Access Pattern</w:t>
            </w:r>
          </w:p>
        </w:tc>
        <w:tc>
          <w:tcPr>
            <w:tcW w:type="dxa" w:w="1994"/>
            <w:shd w:fill="DDEBF7"/>
          </w:tcPr>
          <w:p>
            <w:pPr>
              <w:spacing w:after="60" w:before="0"/>
            </w:pPr>
            <w:r>
              <w:rPr>
                <w:b/>
                <w:sz w:val="18"/>
              </w:rPr>
              <w:t>Notes</w:t>
            </w:r>
          </w:p>
        </w:tc>
      </w:tr>
      <w:tr>
        <w:tc>
          <w:tcPr>
            <w:tcW w:type="dxa" w:w="1994"/>
          </w:tcPr>
          <w:p>
            <w:pPr>
              <w:spacing w:after="60" w:before="0"/>
            </w:pPr>
            <w:r>
              <w:rPr>
                <w:sz w:val="18"/>
              </w:rPr>
              <w:t>Episodic memory</w:t>
            </w:r>
          </w:p>
        </w:tc>
        <w:tc>
          <w:tcPr>
            <w:tcW w:type="dxa" w:w="1994"/>
          </w:tcPr>
          <w:p>
            <w:pPr>
              <w:spacing w:after="60" w:before="0"/>
            </w:pPr>
            <w:r>
              <w:rPr>
                <w:sz w:val="18"/>
              </w:rPr>
              <w:t>Unit metadata, source provenance, session scope, TTL / decay metadata</w:t>
            </w:r>
          </w:p>
        </w:tc>
        <w:tc>
          <w:tcPr>
            <w:tcW w:type="dxa" w:w="1994"/>
          </w:tcPr>
          <w:p>
            <w:pPr>
              <w:spacing w:after="60" w:before="0"/>
            </w:pPr>
            <w:r>
              <w:rPr>
                <w:sz w:val="18"/>
              </w:rPr>
              <w:t>Fast write; decays or archives unless promoted</w:t>
            </w:r>
          </w:p>
        </w:tc>
        <w:tc>
          <w:tcPr>
            <w:tcW w:type="dxa" w:w="1994"/>
          </w:tcPr>
          <w:p>
            <w:pPr>
              <w:spacing w:after="60" w:before="0"/>
            </w:pPr>
            <w:r>
              <w:rPr>
                <w:sz w:val="18"/>
              </w:rPr>
              <w:t>High-write, medium-read</w:t>
            </w:r>
          </w:p>
        </w:tc>
        <w:tc>
          <w:tcPr>
            <w:tcW w:type="dxa" w:w="1994"/>
          </w:tcPr>
          <w:p>
            <w:pPr>
              <w:spacing w:after="60" w:before="0"/>
            </w:pPr>
            <w:r>
              <w:rPr>
                <w:sz w:val="18"/>
              </w:rPr>
              <w:t>Default landing zone for retrieval and silent training</w:t>
            </w:r>
          </w:p>
        </w:tc>
      </w:tr>
      <w:tr>
        <w:tc>
          <w:tcPr>
            <w:tcW w:type="dxa" w:w="1994"/>
          </w:tcPr>
          <w:p>
            <w:pPr>
              <w:spacing w:after="60" w:before="0"/>
            </w:pPr>
            <w:r>
              <w:rPr>
                <w:sz w:val="18"/>
              </w:rPr>
              <w:t>Core memory</w:t>
            </w:r>
          </w:p>
        </w:tc>
        <w:tc>
          <w:tcPr>
            <w:tcW w:type="dxa" w:w="1994"/>
          </w:tcPr>
          <w:p>
            <w:pPr>
              <w:spacing w:after="60" w:before="0"/>
            </w:pPr>
            <w:r>
              <w:rPr>
                <w:sz w:val="18"/>
              </w:rPr>
              <w:t>Unit metadata, cross-session corroboration, stable links, anchor flags</w:t>
            </w:r>
          </w:p>
        </w:tc>
        <w:tc>
          <w:tcPr>
            <w:tcW w:type="dxa" w:w="1994"/>
          </w:tcPr>
          <w:p>
            <w:pPr>
              <w:spacing w:after="60" w:before="0"/>
            </w:pPr>
            <w:r>
              <w:rPr>
                <w:sz w:val="18"/>
              </w:rPr>
              <w:t>Slow promotion; low decay</w:t>
            </w:r>
          </w:p>
        </w:tc>
        <w:tc>
          <w:tcPr>
            <w:tcW w:type="dxa" w:w="1994"/>
          </w:tcPr>
          <w:p>
            <w:pPr>
              <w:spacing w:after="60" w:before="0"/>
            </w:pPr>
            <w:r>
              <w:rPr>
                <w:sz w:val="18"/>
              </w:rPr>
              <w:t>High-read, low-write</w:t>
            </w:r>
          </w:p>
        </w:tc>
        <w:tc>
          <w:tcPr>
            <w:tcW w:type="dxa" w:w="1994"/>
          </w:tcPr>
          <w:p>
            <w:pPr>
              <w:spacing w:after="60" w:before="0"/>
            </w:pPr>
            <w:r>
              <w:rPr>
                <w:sz w:val="18"/>
              </w:rPr>
              <w:t>Represents durable user knowledge and stable language structure</w:t>
            </w:r>
          </w:p>
        </w:tc>
      </w:tr>
    </w:tbl>
    <w:p>
      <w:pPr>
        <w:pStyle w:val="Heading2"/>
      </w:pPr>
      <w:r>
        <w:t>A3. 3D Semantic Map and Region Index</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E2F0D9"/>
          </w:tcPr>
          <w:p>
            <w:pPr>
              <w:spacing w:after="60" w:before="0"/>
            </w:pPr>
            <w:r>
              <w:rPr>
                <w:b/>
                <w:sz w:val="18"/>
              </w:rPr>
              <w:t>Structure</w:t>
            </w:r>
          </w:p>
        </w:tc>
        <w:tc>
          <w:tcPr>
            <w:tcW w:type="dxa" w:w="2493"/>
            <w:shd w:fill="E2F0D9"/>
          </w:tcPr>
          <w:p>
            <w:pPr>
              <w:spacing w:after="60" w:before="0"/>
            </w:pPr>
            <w:r>
              <w:rPr>
                <w:b/>
                <w:sz w:val="18"/>
              </w:rPr>
              <w:t>Representation</w:t>
            </w:r>
          </w:p>
        </w:tc>
        <w:tc>
          <w:tcPr>
            <w:tcW w:type="dxa" w:w="2493"/>
            <w:shd w:fill="E2F0D9"/>
          </w:tcPr>
          <w:p>
            <w:pPr>
              <w:spacing w:after="60" w:before="0"/>
            </w:pPr>
            <w:r>
              <w:rPr>
                <w:b/>
                <w:sz w:val="18"/>
              </w:rPr>
              <w:t>Purpose</w:t>
            </w:r>
          </w:p>
        </w:tc>
        <w:tc>
          <w:tcPr>
            <w:tcW w:type="dxa" w:w="2493"/>
            <w:shd w:fill="E2F0D9"/>
          </w:tcPr>
          <w:p>
            <w:pPr>
              <w:spacing w:after="60" w:before="0"/>
            </w:pPr>
            <w:r>
              <w:rPr>
                <w:b/>
                <w:sz w:val="18"/>
              </w:rPr>
              <w:t>Implementation Note</w:t>
            </w:r>
          </w:p>
        </w:tc>
      </w:tr>
      <w:tr>
        <w:tc>
          <w:tcPr>
            <w:tcW w:type="dxa" w:w="2493"/>
          </w:tcPr>
          <w:p>
            <w:pPr>
              <w:spacing w:after="60" w:before="0"/>
            </w:pPr>
            <w:r>
              <w:rPr>
                <w:sz w:val="18"/>
              </w:rPr>
              <w:t>SemanticMap</w:t>
            </w:r>
          </w:p>
        </w:tc>
        <w:tc>
          <w:tcPr>
            <w:tcW w:type="dxa" w:w="2493"/>
          </w:tcPr>
          <w:p>
            <w:pPr>
              <w:spacing w:after="60" w:before="0"/>
            </w:pPr>
            <w:r>
              <w:rPr>
                <w:sz w:val="18"/>
              </w:rPr>
              <w:t>Dict&lt;UnitID, Vector3&gt; + adjacency metadata</w:t>
            </w:r>
          </w:p>
        </w:tc>
        <w:tc>
          <w:tcPr>
            <w:tcW w:type="dxa" w:w="2493"/>
          </w:tcPr>
          <w:p>
            <w:pPr>
              <w:spacing w:after="60" w:before="0"/>
            </w:pPr>
            <w:r>
              <w:rPr>
                <w:sz w:val="18"/>
              </w:rPr>
              <w:t>Primary coordinate store</w:t>
            </w:r>
          </w:p>
        </w:tc>
        <w:tc>
          <w:tcPr>
            <w:tcW w:type="dxa" w:w="2493"/>
          </w:tcPr>
          <w:p>
            <w:pPr>
              <w:spacing w:after="60" w:before="0"/>
            </w:pPr>
            <w:r>
              <w:rPr>
                <w:sz w:val="18"/>
              </w:rPr>
              <w:t>Use snapshot versioning for reads</w:t>
            </w:r>
          </w:p>
        </w:tc>
      </w:tr>
      <w:tr>
        <w:tc>
          <w:tcPr>
            <w:tcW w:type="dxa" w:w="2493"/>
          </w:tcPr>
          <w:p>
            <w:pPr>
              <w:spacing w:after="60" w:before="0"/>
            </w:pPr>
            <w:r>
              <w:rPr>
                <w:sz w:val="18"/>
              </w:rPr>
              <w:t>RegionIndex</w:t>
            </w:r>
          </w:p>
        </w:tc>
        <w:tc>
          <w:tcPr>
            <w:tcW w:type="dxa" w:w="2493"/>
          </w:tcPr>
          <w:p>
            <w:pPr>
              <w:spacing w:after="60" w:before="0"/>
            </w:pPr>
            <w:r>
              <w:rPr>
                <w:sz w:val="18"/>
              </w:rPr>
              <w:t>Octree / hierarchical region map with halo overlap</w:t>
            </w:r>
          </w:p>
        </w:tc>
        <w:tc>
          <w:tcPr>
            <w:tcW w:type="dxa" w:w="2493"/>
          </w:tcPr>
          <w:p>
            <w:pPr>
              <w:spacing w:after="60" w:before="0"/>
            </w:pPr>
            <w:r>
              <w:rPr>
                <w:sz w:val="18"/>
              </w:rPr>
              <w:t>Fast local candidate narrowing</w:t>
            </w:r>
          </w:p>
        </w:tc>
        <w:tc>
          <w:tcPr>
            <w:tcW w:type="dxa" w:w="2493"/>
          </w:tcPr>
          <w:p>
            <w:pPr>
              <w:spacing w:after="60" w:before="0"/>
            </w:pPr>
            <w:r>
              <w:rPr>
                <w:sz w:val="18"/>
              </w:rPr>
              <w:t>k in O(k·d) is the post-routing candidate set</w:t>
            </w:r>
          </w:p>
        </w:tc>
      </w:tr>
      <w:tr>
        <w:tc>
          <w:tcPr>
            <w:tcW w:type="dxa" w:w="2493"/>
          </w:tcPr>
          <w:p>
            <w:pPr>
              <w:spacing w:after="60" w:before="0"/>
            </w:pPr>
            <w:r>
              <w:rPr>
                <w:sz w:val="18"/>
              </w:rPr>
              <w:t>AnchorPoints</w:t>
            </w:r>
          </w:p>
        </w:tc>
        <w:tc>
          <w:tcPr>
            <w:tcW w:type="dxa" w:w="2493"/>
          </w:tcPr>
          <w:p>
            <w:pPr>
              <w:spacing w:after="60" w:before="0"/>
            </w:pPr>
            <w:r>
              <w:rPr>
                <w:sz w:val="18"/>
              </w:rPr>
              <w:t>List&lt;Vector3&gt; or labeled landmarks</w:t>
            </w:r>
          </w:p>
        </w:tc>
        <w:tc>
          <w:tcPr>
            <w:tcW w:type="dxa" w:w="2493"/>
          </w:tcPr>
          <w:p>
            <w:pPr>
              <w:spacing w:after="60" w:before="0"/>
            </w:pPr>
            <w:r>
              <w:rPr>
                <w:sz w:val="18"/>
              </w:rPr>
              <w:t>Stabilize common concepts and reduce drift</w:t>
            </w:r>
          </w:p>
        </w:tc>
        <w:tc>
          <w:tcPr>
            <w:tcW w:type="dxa" w:w="2493"/>
          </w:tcPr>
          <w:p>
            <w:pPr>
              <w:spacing w:after="60" w:before="0"/>
            </w:pPr>
            <w:r>
              <w:rPr>
                <w:sz w:val="18"/>
              </w:rPr>
              <w:t>Updated sparingly</w:t>
            </w:r>
          </w:p>
        </w:tc>
      </w:tr>
      <w:tr>
        <w:tc>
          <w:tcPr>
            <w:tcW w:type="dxa" w:w="2493"/>
          </w:tcPr>
          <w:p>
            <w:pPr>
              <w:spacing w:after="60" w:before="0"/>
            </w:pPr>
            <w:r>
              <w:rPr>
                <w:sz w:val="18"/>
              </w:rPr>
              <w:t>PositionLocks</w:t>
            </w:r>
          </w:p>
        </w:tc>
        <w:tc>
          <w:tcPr>
            <w:tcW w:type="dxa" w:w="2493"/>
          </w:tcPr>
          <w:p>
            <w:pPr>
              <w:spacing w:after="60" w:before="0"/>
            </w:pPr>
            <w:r>
              <w:rPr>
                <w:sz w:val="18"/>
              </w:rPr>
              <w:t>Set&lt;UnitID&gt;</w:t>
            </w:r>
          </w:p>
        </w:tc>
        <w:tc>
          <w:tcPr>
            <w:tcW w:type="dxa" w:w="2493"/>
          </w:tcPr>
          <w:p>
            <w:pPr>
              <w:spacing w:after="60" w:before="0"/>
            </w:pPr>
            <w:r>
              <w:rPr>
                <w:sz w:val="18"/>
              </w:rPr>
              <w:t>Prevent abrupt movement for protected units</w:t>
            </w:r>
          </w:p>
        </w:tc>
        <w:tc>
          <w:tcPr>
            <w:tcW w:type="dxa" w:w="2493"/>
          </w:tcPr>
          <w:p>
            <w:pPr>
              <w:spacing w:after="60" w:before="0"/>
            </w:pPr>
            <w:r>
              <w:rPr>
                <w:sz w:val="18"/>
              </w:rPr>
              <w:t>Used during force-directed passes</w:t>
            </w:r>
          </w:p>
        </w:tc>
      </w:tr>
    </w:tbl>
    <w:p>
      <w:pPr>
        <w:pStyle w:val="Heading2"/>
      </w:pPr>
      <w:r>
        <w:t>A4. Context Matrix and Sequence State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FCE4D6"/>
          </w:tcPr>
          <w:p>
            <w:pPr>
              <w:spacing w:after="60" w:before="0"/>
            </w:pPr>
            <w:r>
              <w:rPr>
                <w:b/>
                <w:sz w:val="18"/>
              </w:rPr>
              <w:t>Component</w:t>
            </w:r>
          </w:p>
        </w:tc>
        <w:tc>
          <w:tcPr>
            <w:tcW w:type="dxa" w:w="2493"/>
            <w:shd w:fill="FCE4D6"/>
          </w:tcPr>
          <w:p>
            <w:pPr>
              <w:spacing w:after="60" w:before="0"/>
            </w:pPr>
            <w:r>
              <w:rPr>
                <w:b/>
                <w:sz w:val="18"/>
              </w:rPr>
              <w:t>Suggested Representation</w:t>
            </w:r>
          </w:p>
        </w:tc>
        <w:tc>
          <w:tcPr>
            <w:tcW w:type="dxa" w:w="2493"/>
            <w:shd w:fill="FCE4D6"/>
          </w:tcPr>
          <w:p>
            <w:pPr>
              <w:spacing w:after="60" w:before="0"/>
            </w:pPr>
            <w:r>
              <w:rPr>
                <w:b/>
                <w:sz w:val="18"/>
              </w:rPr>
              <w:t>Core Fields</w:t>
            </w:r>
          </w:p>
        </w:tc>
        <w:tc>
          <w:tcPr>
            <w:tcW w:type="dxa" w:w="2493"/>
            <w:shd w:fill="FCE4D6"/>
          </w:tcPr>
          <w:p>
            <w:pPr>
              <w:spacing w:after="60" w:before="0"/>
            </w:pPr>
            <w:r>
              <w:rPr>
                <w:b/>
                <w:sz w:val="18"/>
              </w:rPr>
              <w:t>Purpose</w:t>
            </w:r>
          </w:p>
        </w:tc>
      </w:tr>
      <w:tr>
        <w:tc>
          <w:tcPr>
            <w:tcW w:type="dxa" w:w="2493"/>
          </w:tcPr>
          <w:p>
            <w:pPr>
              <w:spacing w:after="60" w:before="0"/>
            </w:pPr>
            <w:r>
              <w:rPr>
                <w:sz w:val="18"/>
              </w:rPr>
              <w:t>Context matrix</w:t>
            </w:r>
          </w:p>
        </w:tc>
        <w:tc>
          <w:tcPr>
            <w:tcW w:type="dxa" w:w="2493"/>
          </w:tcPr>
          <w:p>
            <w:pPr>
              <w:spacing w:after="60" w:before="0"/>
            </w:pPr>
            <w:r>
              <w:rPr>
                <w:sz w:val="18"/>
              </w:rPr>
              <w:t>Sparse weighted matrix or keyed activation map</w:t>
            </w:r>
          </w:p>
        </w:tc>
        <w:tc>
          <w:tcPr>
            <w:tcW w:type="dxa" w:w="2493"/>
          </w:tcPr>
          <w:p>
            <w:pPr>
              <w:spacing w:after="60" w:before="0"/>
            </w:pPr>
            <w:r>
              <w:rPr>
                <w:sz w:val="18"/>
              </w:rPr>
              <w:t>unit_id, activation, recency, relevance, source</w:t>
            </w:r>
          </w:p>
        </w:tc>
        <w:tc>
          <w:tcPr>
            <w:tcW w:type="dxa" w:w="2493"/>
          </w:tcPr>
          <w:p>
            <w:pPr>
              <w:spacing w:after="60" w:before="0"/>
            </w:pPr>
            <w:r>
              <w:rPr>
                <w:sz w:val="18"/>
              </w:rPr>
              <w:t>Detailed active-state tracking</w:t>
            </w:r>
          </w:p>
        </w:tc>
      </w:tr>
      <w:tr>
        <w:tc>
          <w:tcPr>
            <w:tcW w:type="dxa" w:w="2493"/>
          </w:tcPr>
          <w:p>
            <w:pPr>
              <w:spacing w:after="60" w:before="0"/>
            </w:pPr>
            <w:r>
              <w:rPr>
                <w:sz w:val="18"/>
              </w:rPr>
              <w:t>Sequence state</w:t>
            </w:r>
          </w:p>
        </w:tc>
        <w:tc>
          <w:tcPr>
            <w:tcW w:type="dxa" w:w="2493"/>
          </w:tcPr>
          <w:p>
            <w:pPr>
              <w:spacing w:after="60" w:before="0"/>
            </w:pPr>
            <w:r>
              <w:rPr>
                <w:sz w:val="18"/>
              </w:rPr>
              <w:t>Compact fixed-size state vector plus anchor pointers</w:t>
            </w:r>
          </w:p>
        </w:tc>
        <w:tc>
          <w:tcPr>
            <w:tcW w:type="dxa" w:w="2493"/>
          </w:tcPr>
          <w:p>
            <w:pPr>
              <w:spacing w:after="60" w:before="0"/>
            </w:pPr>
            <w:r>
              <w:rPr>
                <w:sz w:val="18"/>
              </w:rPr>
              <w:t>state slots, decay, protected references</w:t>
            </w:r>
          </w:p>
        </w:tc>
        <w:tc>
          <w:tcPr>
            <w:tcW w:type="dxa" w:w="2493"/>
          </w:tcPr>
          <w:p>
            <w:pPr>
              <w:spacing w:after="60" w:before="0"/>
            </w:pPr>
            <w:r>
              <w:rPr>
                <w:sz w:val="18"/>
              </w:rPr>
              <w:t>Compressed temporal continuity</w:t>
            </w:r>
          </w:p>
        </w:tc>
      </w:tr>
      <w:tr>
        <w:tc>
          <w:tcPr>
            <w:tcW w:type="dxa" w:w="2493"/>
          </w:tcPr>
          <w:p>
            <w:pPr>
              <w:spacing w:after="60" w:before="0"/>
            </w:pPr>
            <w:r>
              <w:rPr>
                <w:sz w:val="18"/>
              </w:rPr>
              <w:t>Anchor registry</w:t>
            </w:r>
          </w:p>
        </w:tc>
        <w:tc>
          <w:tcPr>
            <w:tcW w:type="dxa" w:w="2493"/>
          </w:tcPr>
          <w:p>
            <w:pPr>
              <w:spacing w:after="60" w:before="0"/>
            </w:pPr>
            <w:r>
              <w:rPr>
                <w:sz w:val="18"/>
              </w:rPr>
              <w:t>Protected ID set with justification metadata</w:t>
            </w:r>
          </w:p>
        </w:tc>
        <w:tc>
          <w:tcPr>
            <w:tcW w:type="dxa" w:w="2493"/>
          </w:tcPr>
          <w:p>
            <w:pPr>
              <w:spacing w:after="60" w:before="0"/>
            </w:pPr>
            <w:r>
              <w:rPr>
                <w:sz w:val="18"/>
              </w:rPr>
              <w:t>criterion, last confirmed, source count</w:t>
            </w:r>
          </w:p>
        </w:tc>
        <w:tc>
          <w:tcPr>
            <w:tcW w:type="dxa" w:w="2493"/>
          </w:tcPr>
          <w:p>
            <w:pPr>
              <w:spacing w:after="60" w:before="0"/>
            </w:pPr>
            <w:r>
              <w:rPr>
                <w:sz w:val="18"/>
              </w:rPr>
              <w:t>Reproducible anchor protection</w:t>
            </w:r>
          </w:p>
        </w:tc>
      </w:tr>
    </w:tbl>
    <w:p>
      <w:r>
        <w:br w:type="page"/>
      </w:r>
    </w:p>
    <w:p>
      <w:pPr>
        <w:pStyle w:val="Heading1"/>
      </w:pPr>
      <w:r>
        <w:t>Appendix B - Configuration Schema</w:t>
      </w:r>
    </w:p>
    <w:p>
      <w:pPr>
        <w:spacing w:after="120"/>
      </w:pPr>
      <w:r>
        <w:t>All tunable parameters should be centralized in configuration so experimentation and deployment do not require code changes for routine threshold updates.</w:t>
      </w:r>
    </w:p>
    <w:p>
      <w:pPr>
        <w:pStyle w:val="Heading2"/>
      </w:pPr>
      <w:r>
        <w:t>B1. Retrieval Gating</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EAF2F8"/>
          </w:tcPr>
          <w:p>
            <w:pPr>
              <w:spacing w:after="60" w:before="0"/>
            </w:pPr>
            <w:r>
              <w:rPr>
                <w:b/>
                <w:sz w:val="18"/>
              </w:rPr>
              <w:t>Parameter</w:t>
            </w:r>
          </w:p>
        </w:tc>
        <w:tc>
          <w:tcPr>
            <w:tcW w:type="dxa" w:w="2493"/>
            <w:shd w:fill="EAF2F8"/>
          </w:tcPr>
          <w:p>
            <w:pPr>
              <w:spacing w:after="60" w:before="0"/>
            </w:pPr>
            <w:r>
              <w:rPr>
                <w:b/>
                <w:sz w:val="18"/>
              </w:rPr>
              <w:t>Type</w:t>
            </w:r>
          </w:p>
        </w:tc>
        <w:tc>
          <w:tcPr>
            <w:tcW w:type="dxa" w:w="2493"/>
            <w:shd w:fill="EAF2F8"/>
          </w:tcPr>
          <w:p>
            <w:pPr>
              <w:spacing w:after="60" w:before="0"/>
            </w:pPr>
            <w:r>
              <w:rPr>
                <w:b/>
                <w:sz w:val="18"/>
              </w:rPr>
              <w:t>Default</w:t>
            </w:r>
          </w:p>
        </w:tc>
        <w:tc>
          <w:tcPr>
            <w:tcW w:type="dxa" w:w="2493"/>
            <w:shd w:fill="EAF2F8"/>
          </w:tcPr>
          <w:p>
            <w:pPr>
              <w:spacing w:after="60" w:before="0"/>
            </w:pPr>
            <w:r>
              <w:rPr>
                <w:b/>
                <w:sz w:val="18"/>
              </w:rPr>
              <w:t>Safe Range / Policy</w:t>
            </w:r>
          </w:p>
        </w:tc>
      </w:tr>
      <w:tr>
        <w:tc>
          <w:tcPr>
            <w:tcW w:type="dxa" w:w="2493"/>
          </w:tcPr>
          <w:p>
            <w:pPr>
              <w:spacing w:after="60" w:before="0"/>
            </w:pPr>
            <w:r>
              <w:rPr>
                <w:sz w:val="18"/>
              </w:rPr>
              <w:t>entropy_threshold</w:t>
            </w:r>
          </w:p>
        </w:tc>
        <w:tc>
          <w:tcPr>
            <w:tcW w:type="dxa" w:w="2493"/>
          </w:tcPr>
          <w:p>
            <w:pPr>
              <w:spacing w:after="60" w:before="0"/>
            </w:pPr>
            <w:r>
              <w:rPr>
                <w:sz w:val="18"/>
              </w:rPr>
              <w:t>f32</w:t>
            </w:r>
          </w:p>
        </w:tc>
        <w:tc>
          <w:tcPr>
            <w:tcW w:type="dxa" w:w="2493"/>
          </w:tcPr>
          <w:p>
            <w:pPr>
              <w:spacing w:after="60" w:before="0"/>
            </w:pPr>
            <w:r>
              <w:rPr>
                <w:sz w:val="18"/>
              </w:rPr>
              <w:t>0.85</w:t>
            </w:r>
          </w:p>
        </w:tc>
        <w:tc>
          <w:tcPr>
            <w:tcW w:type="dxa" w:w="2493"/>
          </w:tcPr>
          <w:p>
            <w:pPr>
              <w:spacing w:after="60" w:before="0"/>
            </w:pPr>
            <w:r>
              <w:rPr>
                <w:sz w:val="18"/>
              </w:rPr>
              <w:t>0.50-0.95</w:t>
            </w:r>
          </w:p>
        </w:tc>
      </w:tr>
      <w:tr>
        <w:tc>
          <w:tcPr>
            <w:tcW w:type="dxa" w:w="2493"/>
          </w:tcPr>
          <w:p>
            <w:pPr>
              <w:spacing w:after="60" w:before="0"/>
            </w:pPr>
            <w:r>
              <w:rPr>
                <w:sz w:val="18"/>
              </w:rPr>
              <w:t>recency_threshold_hours</w:t>
            </w:r>
          </w:p>
        </w:tc>
        <w:tc>
          <w:tcPr>
            <w:tcW w:type="dxa" w:w="2493"/>
          </w:tcPr>
          <w:p>
            <w:pPr>
              <w:spacing w:after="60" w:before="0"/>
            </w:pPr>
            <w:r>
              <w:rPr>
                <w:sz w:val="18"/>
              </w:rPr>
              <w:t>u32</w:t>
            </w:r>
          </w:p>
        </w:tc>
        <w:tc>
          <w:tcPr>
            <w:tcW w:type="dxa" w:w="2493"/>
          </w:tcPr>
          <w:p>
            <w:pPr>
              <w:spacing w:after="60" w:before="0"/>
            </w:pPr>
            <w:r>
              <w:rPr>
                <w:sz w:val="18"/>
              </w:rPr>
              <w:t>72</w:t>
            </w:r>
          </w:p>
        </w:tc>
        <w:tc>
          <w:tcPr>
            <w:tcW w:type="dxa" w:w="2493"/>
          </w:tcPr>
          <w:p>
            <w:pPr>
              <w:spacing w:after="60" w:before="0"/>
            </w:pPr>
            <w:r>
              <w:rPr>
                <w:sz w:val="18"/>
              </w:rPr>
              <w:t>1-720</w:t>
            </w:r>
          </w:p>
        </w:tc>
      </w:tr>
      <w:tr>
        <w:tc>
          <w:tcPr>
            <w:tcW w:type="dxa" w:w="2493"/>
          </w:tcPr>
          <w:p>
            <w:pPr>
              <w:spacing w:after="60" w:before="0"/>
            </w:pPr>
            <w:r>
              <w:rPr>
                <w:sz w:val="18"/>
              </w:rPr>
              <w:t>disagreement_weight</w:t>
            </w:r>
          </w:p>
        </w:tc>
        <w:tc>
          <w:tcPr>
            <w:tcW w:type="dxa" w:w="2493"/>
          </w:tcPr>
          <w:p>
            <w:pPr>
              <w:spacing w:after="60" w:before="0"/>
            </w:pPr>
            <w:r>
              <w:rPr>
                <w:sz w:val="18"/>
              </w:rPr>
              <w:t>f32</w:t>
            </w:r>
          </w:p>
        </w:tc>
        <w:tc>
          <w:tcPr>
            <w:tcW w:type="dxa" w:w="2493"/>
          </w:tcPr>
          <w:p>
            <w:pPr>
              <w:spacing w:after="60" w:before="0"/>
            </w:pPr>
            <w:r>
              <w:rPr>
                <w:sz w:val="18"/>
              </w:rPr>
              <w:t>0.25</w:t>
            </w:r>
          </w:p>
        </w:tc>
        <w:tc>
          <w:tcPr>
            <w:tcW w:type="dxa" w:w="2493"/>
          </w:tcPr>
          <w:p>
            <w:pPr>
              <w:spacing w:after="60" w:before="0"/>
            </w:pPr>
            <w:r>
              <w:rPr>
                <w:sz w:val="18"/>
              </w:rPr>
              <w:t>0.0-1.0</w:t>
            </w:r>
          </w:p>
        </w:tc>
      </w:tr>
      <w:tr>
        <w:tc>
          <w:tcPr>
            <w:tcW w:type="dxa" w:w="2493"/>
          </w:tcPr>
          <w:p>
            <w:pPr>
              <w:spacing w:after="60" w:before="0"/>
            </w:pPr>
            <w:r>
              <w:rPr>
                <w:sz w:val="18"/>
              </w:rPr>
              <w:t>cost_penalty_weight</w:t>
            </w:r>
          </w:p>
        </w:tc>
        <w:tc>
          <w:tcPr>
            <w:tcW w:type="dxa" w:w="2493"/>
          </w:tcPr>
          <w:p>
            <w:pPr>
              <w:spacing w:after="60" w:before="0"/>
            </w:pPr>
            <w:r>
              <w:rPr>
                <w:sz w:val="18"/>
              </w:rPr>
              <w:t>f32</w:t>
            </w:r>
          </w:p>
        </w:tc>
        <w:tc>
          <w:tcPr>
            <w:tcW w:type="dxa" w:w="2493"/>
          </w:tcPr>
          <w:p>
            <w:pPr>
              <w:spacing w:after="60" w:before="0"/>
            </w:pPr>
            <w:r>
              <w:rPr>
                <w:sz w:val="18"/>
              </w:rPr>
              <w:t>0.30</w:t>
            </w:r>
          </w:p>
        </w:tc>
        <w:tc>
          <w:tcPr>
            <w:tcW w:type="dxa" w:w="2493"/>
          </w:tcPr>
          <w:p>
            <w:pPr>
              <w:spacing w:after="60" w:before="0"/>
            </w:pPr>
            <w:r>
              <w:rPr>
                <w:sz w:val="18"/>
              </w:rPr>
              <w:t>0.0-1.0</w:t>
            </w:r>
          </w:p>
        </w:tc>
      </w:tr>
    </w:tbl>
    <w:p>
      <w:pPr>
        <w:pStyle w:val="Heading2"/>
      </w:pPr>
      <w:r>
        <w:t>B2. Memory Governance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EAF2F8"/>
          </w:tcPr>
          <w:p>
            <w:pPr>
              <w:spacing w:after="60" w:before="0"/>
            </w:pPr>
            <w:r>
              <w:rPr>
                <w:b/>
                <w:sz w:val="18"/>
              </w:rPr>
              <w:t>Parameter</w:t>
            </w:r>
          </w:p>
        </w:tc>
        <w:tc>
          <w:tcPr>
            <w:tcW w:type="dxa" w:w="2493"/>
            <w:shd w:fill="EAF2F8"/>
          </w:tcPr>
          <w:p>
            <w:pPr>
              <w:spacing w:after="60" w:before="0"/>
            </w:pPr>
            <w:r>
              <w:rPr>
                <w:b/>
                <w:sz w:val="18"/>
              </w:rPr>
              <w:t>Type</w:t>
            </w:r>
          </w:p>
        </w:tc>
        <w:tc>
          <w:tcPr>
            <w:tcW w:type="dxa" w:w="2493"/>
            <w:shd w:fill="EAF2F8"/>
          </w:tcPr>
          <w:p>
            <w:pPr>
              <w:spacing w:after="60" w:before="0"/>
            </w:pPr>
            <w:r>
              <w:rPr>
                <w:b/>
                <w:sz w:val="18"/>
              </w:rPr>
              <w:t>Default</w:t>
            </w:r>
          </w:p>
        </w:tc>
        <w:tc>
          <w:tcPr>
            <w:tcW w:type="dxa" w:w="2493"/>
            <w:shd w:fill="EAF2F8"/>
          </w:tcPr>
          <w:p>
            <w:pPr>
              <w:spacing w:after="60" w:before="0"/>
            </w:pPr>
            <w:r>
              <w:rPr>
                <w:b/>
                <w:sz w:val="18"/>
              </w:rPr>
              <w:t>Safe Range / Policy</w:t>
            </w:r>
          </w:p>
        </w:tc>
      </w:tr>
      <w:tr>
        <w:tc>
          <w:tcPr>
            <w:tcW w:type="dxa" w:w="2493"/>
          </w:tcPr>
          <w:p>
            <w:pPr>
              <w:spacing w:after="60" w:before="0"/>
            </w:pPr>
            <w:r>
              <w:rPr>
                <w:sz w:val="18"/>
              </w:rPr>
              <w:t>daily_growth_limit_mb</w:t>
            </w:r>
          </w:p>
        </w:tc>
        <w:tc>
          <w:tcPr>
            <w:tcW w:type="dxa" w:w="2493"/>
          </w:tcPr>
          <w:p>
            <w:pPr>
              <w:spacing w:after="60" w:before="0"/>
            </w:pPr>
            <w:r>
              <w:rPr>
                <w:sz w:val="18"/>
              </w:rPr>
              <w:t>f32</w:t>
            </w:r>
          </w:p>
        </w:tc>
        <w:tc>
          <w:tcPr>
            <w:tcW w:type="dxa" w:w="2493"/>
          </w:tcPr>
          <w:p>
            <w:pPr>
              <w:spacing w:after="60" w:before="0"/>
            </w:pPr>
            <w:r>
              <w:rPr>
                <w:sz w:val="18"/>
              </w:rPr>
              <w:t>1.0</w:t>
            </w:r>
          </w:p>
        </w:tc>
        <w:tc>
          <w:tcPr>
            <w:tcW w:type="dxa" w:w="2493"/>
          </w:tcPr>
          <w:p>
            <w:pPr>
              <w:spacing w:after="60" w:before="0"/>
            </w:pPr>
            <w:r>
              <w:rPr>
                <w:sz w:val="18"/>
              </w:rPr>
              <w:t>0.1-5.0</w:t>
            </w:r>
          </w:p>
        </w:tc>
      </w:tr>
      <w:tr>
        <w:tc>
          <w:tcPr>
            <w:tcW w:type="dxa" w:w="2493"/>
          </w:tcPr>
          <w:p>
            <w:pPr>
              <w:spacing w:after="60" w:before="0"/>
            </w:pPr>
            <w:r>
              <w:rPr>
                <w:sz w:val="18"/>
              </w:rPr>
              <w:t>episodic_decay_days</w:t>
            </w:r>
          </w:p>
        </w:tc>
        <w:tc>
          <w:tcPr>
            <w:tcW w:type="dxa" w:w="2493"/>
          </w:tcPr>
          <w:p>
            <w:pPr>
              <w:spacing w:after="60" w:before="0"/>
            </w:pPr>
            <w:r>
              <w:rPr>
                <w:sz w:val="18"/>
              </w:rPr>
              <w:t>u32</w:t>
            </w:r>
          </w:p>
        </w:tc>
        <w:tc>
          <w:tcPr>
            <w:tcW w:type="dxa" w:w="2493"/>
          </w:tcPr>
          <w:p>
            <w:pPr>
              <w:spacing w:after="60" w:before="0"/>
            </w:pPr>
            <w:r>
              <w:rPr>
                <w:sz w:val="18"/>
              </w:rPr>
              <w:t>30</w:t>
            </w:r>
          </w:p>
        </w:tc>
        <w:tc>
          <w:tcPr>
            <w:tcW w:type="dxa" w:w="2493"/>
          </w:tcPr>
          <w:p>
            <w:pPr>
              <w:spacing w:after="60" w:before="0"/>
            </w:pPr>
            <w:r>
              <w:rPr>
                <w:sz w:val="18"/>
              </w:rPr>
              <w:t>1-180</w:t>
            </w:r>
          </w:p>
        </w:tc>
      </w:tr>
      <w:tr>
        <w:tc>
          <w:tcPr>
            <w:tcW w:type="dxa" w:w="2493"/>
          </w:tcPr>
          <w:p>
            <w:pPr>
              <w:spacing w:after="60" w:before="0"/>
            </w:pPr>
            <w:r>
              <w:rPr>
                <w:sz w:val="18"/>
              </w:rPr>
              <w:t>anchor_salience_threshold</w:t>
            </w:r>
          </w:p>
        </w:tc>
        <w:tc>
          <w:tcPr>
            <w:tcW w:type="dxa" w:w="2493"/>
          </w:tcPr>
          <w:p>
            <w:pPr>
              <w:spacing w:after="60" w:before="0"/>
            </w:pPr>
            <w:r>
              <w:rPr>
                <w:sz w:val="18"/>
              </w:rPr>
              <w:t>f32</w:t>
            </w:r>
          </w:p>
        </w:tc>
        <w:tc>
          <w:tcPr>
            <w:tcW w:type="dxa" w:w="2493"/>
          </w:tcPr>
          <w:p>
            <w:pPr>
              <w:spacing w:after="60" w:before="0"/>
            </w:pPr>
            <w:r>
              <w:rPr>
                <w:sz w:val="18"/>
              </w:rPr>
              <w:t>0.70</w:t>
            </w:r>
          </w:p>
        </w:tc>
        <w:tc>
          <w:tcPr>
            <w:tcW w:type="dxa" w:w="2493"/>
          </w:tcPr>
          <w:p>
            <w:pPr>
              <w:spacing w:after="60" w:before="0"/>
            </w:pPr>
            <w:r>
              <w:rPr>
                <w:sz w:val="18"/>
              </w:rPr>
              <w:t>0.40-0.95</w:t>
            </w:r>
          </w:p>
        </w:tc>
      </w:tr>
      <w:tr>
        <w:tc>
          <w:tcPr>
            <w:tcW w:type="dxa" w:w="2493"/>
          </w:tcPr>
          <w:p>
            <w:pPr>
              <w:spacing w:after="60" w:before="0"/>
            </w:pPr>
            <w:r>
              <w:rPr>
                <w:sz w:val="18"/>
              </w:rPr>
              <w:t>promotion_min_corroborations</w:t>
            </w:r>
          </w:p>
        </w:tc>
        <w:tc>
          <w:tcPr>
            <w:tcW w:type="dxa" w:w="2493"/>
          </w:tcPr>
          <w:p>
            <w:pPr>
              <w:spacing w:after="60" w:before="0"/>
            </w:pPr>
            <w:r>
              <w:rPr>
                <w:sz w:val="18"/>
              </w:rPr>
              <w:t>u32</w:t>
            </w:r>
          </w:p>
        </w:tc>
        <w:tc>
          <w:tcPr>
            <w:tcW w:type="dxa" w:w="2493"/>
          </w:tcPr>
          <w:p>
            <w:pPr>
              <w:spacing w:after="60" w:before="0"/>
            </w:pPr>
            <w:r>
              <w:rPr>
                <w:sz w:val="18"/>
              </w:rPr>
              <w:t>3</w:t>
            </w:r>
          </w:p>
        </w:tc>
        <w:tc>
          <w:tcPr>
            <w:tcW w:type="dxa" w:w="2493"/>
          </w:tcPr>
          <w:p>
            <w:pPr>
              <w:spacing w:after="60" w:before="0"/>
            </w:pPr>
            <w:r>
              <w:rPr>
                <w:sz w:val="18"/>
              </w:rPr>
              <w:t>1-10</w:t>
            </w:r>
          </w:p>
        </w:tc>
      </w:tr>
    </w:tbl>
    <w:p>
      <w:pPr>
        <w:pStyle w:val="Heading2"/>
      </w:pPr>
      <w:r>
        <w:t>B3. Silent Training Mode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EAF2F8"/>
          </w:tcPr>
          <w:p>
            <w:pPr>
              <w:spacing w:after="60" w:before="0"/>
            </w:pPr>
            <w:r>
              <w:rPr>
                <w:b/>
                <w:sz w:val="18"/>
              </w:rPr>
              <w:t>Parameter</w:t>
            </w:r>
          </w:p>
        </w:tc>
        <w:tc>
          <w:tcPr>
            <w:tcW w:type="dxa" w:w="2493"/>
            <w:shd w:fill="EAF2F8"/>
          </w:tcPr>
          <w:p>
            <w:pPr>
              <w:spacing w:after="60" w:before="0"/>
            </w:pPr>
            <w:r>
              <w:rPr>
                <w:b/>
                <w:sz w:val="18"/>
              </w:rPr>
              <w:t>Type</w:t>
            </w:r>
          </w:p>
        </w:tc>
        <w:tc>
          <w:tcPr>
            <w:tcW w:type="dxa" w:w="2493"/>
            <w:shd w:fill="EAF2F8"/>
          </w:tcPr>
          <w:p>
            <w:pPr>
              <w:spacing w:after="60" w:before="0"/>
            </w:pPr>
            <w:r>
              <w:rPr>
                <w:b/>
                <w:sz w:val="18"/>
              </w:rPr>
              <w:t>Default</w:t>
            </w:r>
          </w:p>
        </w:tc>
        <w:tc>
          <w:tcPr>
            <w:tcW w:type="dxa" w:w="2493"/>
            <w:shd w:fill="EAF2F8"/>
          </w:tcPr>
          <w:p>
            <w:pPr>
              <w:spacing w:after="60" w:before="0"/>
            </w:pPr>
            <w:r>
              <w:rPr>
                <w:b/>
                <w:sz w:val="18"/>
              </w:rPr>
              <w:t>Safe Range / Policy</w:t>
            </w:r>
          </w:p>
        </w:tc>
      </w:tr>
      <w:tr>
        <w:tc>
          <w:tcPr>
            <w:tcW w:type="dxa" w:w="2493"/>
          </w:tcPr>
          <w:p>
            <w:pPr>
              <w:spacing w:after="60" w:before="0"/>
            </w:pPr>
            <w:r>
              <w:rPr>
                <w:sz w:val="18"/>
              </w:rPr>
              <w:t>max_memory_delta_mb</w:t>
            </w:r>
          </w:p>
        </w:tc>
        <w:tc>
          <w:tcPr>
            <w:tcW w:type="dxa" w:w="2493"/>
          </w:tcPr>
          <w:p>
            <w:pPr>
              <w:spacing w:after="60" w:before="0"/>
            </w:pPr>
            <w:r>
              <w:rPr>
                <w:sz w:val="18"/>
              </w:rPr>
              <w:t>f32</w:t>
            </w:r>
          </w:p>
        </w:tc>
        <w:tc>
          <w:tcPr>
            <w:tcW w:type="dxa" w:w="2493"/>
          </w:tcPr>
          <w:p>
            <w:pPr>
              <w:spacing w:after="60" w:before="0"/>
            </w:pPr>
            <w:r>
              <w:rPr>
                <w:sz w:val="18"/>
              </w:rPr>
              <w:t>0.5</w:t>
            </w:r>
          </w:p>
        </w:tc>
        <w:tc>
          <w:tcPr>
            <w:tcW w:type="dxa" w:w="2493"/>
          </w:tcPr>
          <w:p>
            <w:pPr>
              <w:spacing w:after="60" w:before="0"/>
            </w:pPr>
            <w:r>
              <w:rPr>
                <w:sz w:val="18"/>
              </w:rPr>
              <w:t>0.1-2.0</w:t>
            </w:r>
          </w:p>
        </w:tc>
      </w:tr>
      <w:tr>
        <w:tc>
          <w:tcPr>
            <w:tcW w:type="dxa" w:w="2493"/>
          </w:tcPr>
          <w:p>
            <w:pPr>
              <w:spacing w:after="60" w:before="0"/>
            </w:pPr>
            <w:r>
              <w:rPr>
                <w:sz w:val="18"/>
              </w:rPr>
              <w:t>progress_interval_sec</w:t>
            </w:r>
          </w:p>
        </w:tc>
        <w:tc>
          <w:tcPr>
            <w:tcW w:type="dxa" w:w="2493"/>
          </w:tcPr>
          <w:p>
            <w:pPr>
              <w:spacing w:after="60" w:before="0"/>
            </w:pPr>
            <w:r>
              <w:rPr>
                <w:sz w:val="18"/>
              </w:rPr>
              <w:t>u32</w:t>
            </w:r>
          </w:p>
        </w:tc>
        <w:tc>
          <w:tcPr>
            <w:tcW w:type="dxa" w:w="2493"/>
          </w:tcPr>
          <w:p>
            <w:pPr>
              <w:spacing w:after="60" w:before="0"/>
            </w:pPr>
            <w:r>
              <w:rPr>
                <w:sz w:val="18"/>
              </w:rPr>
              <w:t>10</w:t>
            </w:r>
          </w:p>
        </w:tc>
        <w:tc>
          <w:tcPr>
            <w:tcW w:type="dxa" w:w="2493"/>
          </w:tcPr>
          <w:p>
            <w:pPr>
              <w:spacing w:after="60" w:before="0"/>
            </w:pPr>
            <w:r>
              <w:rPr>
                <w:sz w:val="18"/>
              </w:rPr>
              <w:t>1-60</w:t>
            </w:r>
          </w:p>
        </w:tc>
      </w:tr>
      <w:tr>
        <w:tc>
          <w:tcPr>
            <w:tcW w:type="dxa" w:w="2493"/>
          </w:tcPr>
          <w:p>
            <w:pPr>
              <w:spacing w:after="60" w:before="0"/>
            </w:pPr>
            <w:r>
              <w:rPr>
                <w:sz w:val="18"/>
              </w:rPr>
              <w:t>batch_size_sources</w:t>
            </w:r>
          </w:p>
        </w:tc>
        <w:tc>
          <w:tcPr>
            <w:tcW w:type="dxa" w:w="2493"/>
          </w:tcPr>
          <w:p>
            <w:pPr>
              <w:spacing w:after="60" w:before="0"/>
            </w:pPr>
            <w:r>
              <w:rPr>
                <w:sz w:val="18"/>
              </w:rPr>
              <w:t>u32</w:t>
            </w:r>
          </w:p>
        </w:tc>
        <w:tc>
          <w:tcPr>
            <w:tcW w:type="dxa" w:w="2493"/>
          </w:tcPr>
          <w:p>
            <w:pPr>
              <w:spacing w:after="60" w:before="0"/>
            </w:pPr>
            <w:r>
              <w:rPr>
                <w:sz w:val="18"/>
              </w:rPr>
              <w:t>50</w:t>
            </w:r>
          </w:p>
        </w:tc>
        <w:tc>
          <w:tcPr>
            <w:tcW w:type="dxa" w:w="2493"/>
          </w:tcPr>
          <w:p>
            <w:pPr>
              <w:spacing w:after="60" w:before="0"/>
            </w:pPr>
            <w:r>
              <w:rPr>
                <w:sz w:val="18"/>
              </w:rPr>
              <w:t>1-500</w:t>
            </w:r>
          </w:p>
        </w:tc>
      </w:tr>
      <w:tr>
        <w:tc>
          <w:tcPr>
            <w:tcW w:type="dxa" w:w="2493"/>
          </w:tcPr>
          <w:p>
            <w:pPr>
              <w:spacing w:after="60" w:before="0"/>
            </w:pPr>
            <w:r>
              <w:rPr>
                <w:sz w:val="18"/>
              </w:rPr>
              <w:t>merge_to_core</w:t>
            </w:r>
          </w:p>
        </w:tc>
        <w:tc>
          <w:tcPr>
            <w:tcW w:type="dxa" w:w="2493"/>
          </w:tcPr>
          <w:p>
            <w:pPr>
              <w:spacing w:after="60" w:before="0"/>
            </w:pPr>
            <w:r>
              <w:rPr>
                <w:sz w:val="18"/>
              </w:rPr>
              <w:t>bool</w:t>
            </w:r>
          </w:p>
        </w:tc>
        <w:tc>
          <w:tcPr>
            <w:tcW w:type="dxa" w:w="2493"/>
          </w:tcPr>
          <w:p>
            <w:pPr>
              <w:spacing w:after="60" w:before="0"/>
            </w:pPr>
            <w:r>
              <w:rPr>
                <w:sz w:val="18"/>
              </w:rPr>
              <w:t>false</w:t>
            </w:r>
          </w:p>
        </w:tc>
        <w:tc>
          <w:tcPr>
            <w:tcW w:type="dxa" w:w="2493"/>
          </w:tcPr>
          <w:p>
            <w:pPr>
              <w:spacing w:after="60" w:before="0"/>
            </w:pPr>
            <w:r>
              <w:rPr>
                <w:sz w:val="18"/>
              </w:rPr>
              <w:t>false unless explicitly approved</w:t>
            </w:r>
          </w:p>
        </w:tc>
      </w:tr>
    </w:tbl>
    <w:p>
      <w:r>
        <w:br w:type="page"/>
      </w:r>
    </w:p>
    <w:p>
      <w:pPr>
        <w:pStyle w:val="Heading2"/>
      </w:pPr>
      <w:r>
        <w:t>B4. Evidence Merge Defaults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EAF2F8"/>
          </w:tcPr>
          <w:p>
            <w:pPr>
              <w:spacing w:after="60"/>
            </w:pPr>
            <w:r>
              <w:rPr>
                <w:b/>
                <w:sz w:val="18"/>
              </w:rPr>
              <w:t>Parameter</w:t>
            </w:r>
          </w:p>
        </w:tc>
        <w:tc>
          <w:tcPr>
            <w:tcW w:type="dxa" w:w="2493"/>
            <w:shd w:fill="EAF2F8"/>
          </w:tcPr>
          <w:p>
            <w:pPr>
              <w:spacing w:after="60"/>
            </w:pPr>
            <w:r>
              <w:rPr>
                <w:b/>
                <w:sz w:val="18"/>
              </w:rPr>
              <w:t>Type</w:t>
            </w:r>
          </w:p>
        </w:tc>
        <w:tc>
          <w:tcPr>
            <w:tcW w:type="dxa" w:w="2493"/>
            <w:shd w:fill="EAF2F8"/>
          </w:tcPr>
          <w:p>
            <w:pPr>
              <w:spacing w:after="60"/>
            </w:pPr>
            <w:r>
              <w:rPr>
                <w:b/>
                <w:sz w:val="18"/>
              </w:rPr>
              <w:t>Default</w:t>
            </w:r>
          </w:p>
        </w:tc>
        <w:tc>
          <w:tcPr>
            <w:tcW w:type="dxa" w:w="2493"/>
            <w:shd w:fill="EAF2F8"/>
          </w:tcPr>
          <w:p>
            <w:pPr>
              <w:spacing w:after="60"/>
            </w:pPr>
            <w:r>
              <w:rPr>
                <w:b/>
                <w:sz w:val="18"/>
              </w:rPr>
              <w:t>Safe Range / Policy</w:t>
            </w:r>
          </w:p>
        </w:tc>
      </w:tr>
      <w:tr>
        <w:tc>
          <w:tcPr>
            <w:tcW w:type="dxa" w:w="2493"/>
          </w:tcPr>
          <w:p>
            <w:pPr>
              <w:spacing w:after="60"/>
            </w:pPr>
            <w:r>
              <w:rPr>
                <w:sz w:val="18"/>
              </w:rPr>
              <w:t>trust_weight</w:t>
            </w:r>
          </w:p>
        </w:tc>
        <w:tc>
          <w:tcPr>
            <w:tcW w:type="dxa" w:w="2493"/>
          </w:tcPr>
          <w:p>
            <w:pPr>
              <w:spacing w:after="60"/>
            </w:pPr>
            <w:r>
              <w:rPr>
                <w:sz w:val="18"/>
              </w:rPr>
              <w:t>f32</w:t>
            </w:r>
          </w:p>
        </w:tc>
        <w:tc>
          <w:tcPr>
            <w:tcW w:type="dxa" w:w="2493"/>
          </w:tcPr>
          <w:p>
            <w:pPr>
              <w:spacing w:after="60"/>
            </w:pPr>
            <w:r>
              <w:rPr>
                <w:sz w:val="18"/>
              </w:rPr>
              <w:t>0.50</w:t>
            </w:r>
          </w:p>
        </w:tc>
        <w:tc>
          <w:tcPr>
            <w:tcW w:type="dxa" w:w="2493"/>
          </w:tcPr>
          <w:p>
            <w:pPr>
              <w:spacing w:after="60"/>
            </w:pPr>
            <w:r>
              <w:rPr>
                <w:sz w:val="18"/>
              </w:rPr>
              <w:t>0.0-1.0</w:t>
            </w:r>
          </w:p>
        </w:tc>
      </w:tr>
      <w:tr>
        <w:tc>
          <w:tcPr>
            <w:tcW w:type="dxa" w:w="2493"/>
          </w:tcPr>
          <w:p>
            <w:pPr>
              <w:spacing w:after="60"/>
            </w:pPr>
            <w:r>
              <w:rPr>
                <w:sz w:val="18"/>
              </w:rPr>
              <w:t>recency_weight</w:t>
            </w:r>
          </w:p>
        </w:tc>
        <w:tc>
          <w:tcPr>
            <w:tcW w:type="dxa" w:w="2493"/>
          </w:tcPr>
          <w:p>
            <w:pPr>
              <w:spacing w:after="60"/>
            </w:pPr>
            <w:r>
              <w:rPr>
                <w:sz w:val="18"/>
              </w:rPr>
              <w:t>f32</w:t>
            </w:r>
          </w:p>
        </w:tc>
        <w:tc>
          <w:tcPr>
            <w:tcW w:type="dxa" w:w="2493"/>
          </w:tcPr>
          <w:p>
            <w:pPr>
              <w:spacing w:after="60"/>
            </w:pPr>
            <w:r>
              <w:rPr>
                <w:sz w:val="18"/>
              </w:rPr>
              <w:t>0.30</w:t>
            </w:r>
          </w:p>
        </w:tc>
        <w:tc>
          <w:tcPr>
            <w:tcW w:type="dxa" w:w="2493"/>
          </w:tcPr>
          <w:p>
            <w:pPr>
              <w:spacing w:after="60"/>
            </w:pPr>
            <w:r>
              <w:rPr>
                <w:sz w:val="18"/>
              </w:rPr>
              <w:t>0.0-1.0</w:t>
            </w:r>
          </w:p>
        </w:tc>
      </w:tr>
      <w:tr>
        <w:tc>
          <w:tcPr>
            <w:tcW w:type="dxa" w:w="2493"/>
          </w:tcPr>
          <w:p>
            <w:pPr>
              <w:spacing w:after="60"/>
            </w:pPr>
            <w:r>
              <w:rPr>
                <w:sz w:val="18"/>
              </w:rPr>
              <w:t>agreement_weight</w:t>
            </w:r>
          </w:p>
        </w:tc>
        <w:tc>
          <w:tcPr>
            <w:tcW w:type="dxa" w:w="2493"/>
          </w:tcPr>
          <w:p>
            <w:pPr>
              <w:spacing w:after="60"/>
            </w:pPr>
            <w:r>
              <w:rPr>
                <w:sz w:val="18"/>
              </w:rPr>
              <w:t>f32</w:t>
            </w:r>
          </w:p>
        </w:tc>
        <w:tc>
          <w:tcPr>
            <w:tcW w:type="dxa" w:w="2493"/>
          </w:tcPr>
          <w:p>
            <w:pPr>
              <w:spacing w:after="60"/>
            </w:pPr>
            <w:r>
              <w:rPr>
                <w:sz w:val="18"/>
              </w:rPr>
              <w:t>0.20</w:t>
            </w:r>
          </w:p>
        </w:tc>
        <w:tc>
          <w:tcPr>
            <w:tcW w:type="dxa" w:w="2493"/>
          </w:tcPr>
          <w:p>
            <w:pPr>
              <w:spacing w:after="60"/>
            </w:pPr>
            <w:r>
              <w:rPr>
                <w:sz w:val="18"/>
              </w:rPr>
              <w:t>0.0-1.0</w:t>
            </w:r>
          </w:p>
        </w:tc>
      </w:tr>
      <w:tr>
        <w:tc>
          <w:tcPr>
            <w:tcW w:type="dxa" w:w="2493"/>
          </w:tcPr>
          <w:p>
            <w:pPr>
              <w:spacing w:after="60"/>
            </w:pPr>
            <w:r>
              <w:rPr>
                <w:sz w:val="18"/>
              </w:rPr>
              <w:t>ambiguity_margin</w:t>
            </w:r>
          </w:p>
        </w:tc>
        <w:tc>
          <w:tcPr>
            <w:tcW w:type="dxa" w:w="2493"/>
          </w:tcPr>
          <w:p>
            <w:pPr>
              <w:spacing w:after="60"/>
            </w:pPr>
            <w:r>
              <w:rPr>
                <w:sz w:val="18"/>
              </w:rPr>
              <w:t>f32</w:t>
            </w:r>
          </w:p>
        </w:tc>
        <w:tc>
          <w:tcPr>
            <w:tcW w:type="dxa" w:w="2493"/>
          </w:tcPr>
          <w:p>
            <w:pPr>
              <w:spacing w:after="60"/>
            </w:pPr>
            <w:r>
              <w:rPr>
                <w:sz w:val="18"/>
              </w:rPr>
              <w:t>0.05</w:t>
            </w:r>
          </w:p>
        </w:tc>
        <w:tc>
          <w:tcPr>
            <w:tcW w:type="dxa" w:w="2493"/>
          </w:tcPr>
          <w:p>
            <w:pPr>
              <w:spacing w:after="60"/>
            </w:pPr>
            <w:r>
              <w:rPr>
                <w:sz w:val="18"/>
              </w:rPr>
              <w:t>0.0-0.5</w:t>
            </w:r>
          </w:p>
        </w:tc>
      </w:tr>
    </w:tbl>
    <w:p>
      <w:pPr>
        <w:pStyle w:val="Heading2"/>
      </w:pPr>
      <w:r>
        <w:t>B5. Trust Heuristic Adjustments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EAF2F8"/>
          </w:tcPr>
          <w:p>
            <w:pPr>
              <w:spacing w:after="60"/>
            </w:pPr>
            <w:r>
              <w:rPr>
                <w:b/>
                <w:sz w:val="18"/>
              </w:rPr>
              <w:t>Parameter</w:t>
            </w:r>
          </w:p>
        </w:tc>
        <w:tc>
          <w:tcPr>
            <w:tcW w:type="dxa" w:w="2493"/>
            <w:shd w:fill="EAF2F8"/>
          </w:tcPr>
          <w:p>
            <w:pPr>
              <w:spacing w:after="60"/>
            </w:pPr>
            <w:r>
              <w:rPr>
                <w:b/>
                <w:sz w:val="18"/>
              </w:rPr>
              <w:t>Type</w:t>
            </w:r>
          </w:p>
        </w:tc>
        <w:tc>
          <w:tcPr>
            <w:tcW w:type="dxa" w:w="2493"/>
            <w:shd w:fill="EAF2F8"/>
          </w:tcPr>
          <w:p>
            <w:pPr>
              <w:spacing w:after="60"/>
            </w:pPr>
            <w:r>
              <w:rPr>
                <w:b/>
                <w:sz w:val="18"/>
              </w:rPr>
              <w:t>Default</w:t>
            </w:r>
          </w:p>
        </w:tc>
        <w:tc>
          <w:tcPr>
            <w:tcW w:type="dxa" w:w="2493"/>
            <w:shd w:fill="EAF2F8"/>
          </w:tcPr>
          <w:p>
            <w:pPr>
              <w:spacing w:after="60"/>
            </w:pPr>
            <w:r>
              <w:rPr>
                <w:b/>
                <w:sz w:val="18"/>
              </w:rPr>
              <w:t>Safe Range / Policy</w:t>
            </w:r>
          </w:p>
        </w:tc>
      </w:tr>
      <w:tr>
        <w:tc>
          <w:tcPr>
            <w:tcW w:type="dxa" w:w="2493"/>
          </w:tcPr>
          <w:p>
            <w:pPr>
              <w:spacing w:after="60"/>
            </w:pPr>
            <w:r>
              <w:rPr>
                <w:sz w:val="18"/>
              </w:rPr>
              <w:t>default_source_trust</w:t>
            </w:r>
          </w:p>
        </w:tc>
        <w:tc>
          <w:tcPr>
            <w:tcW w:type="dxa" w:w="2493"/>
          </w:tcPr>
          <w:p>
            <w:pPr>
              <w:spacing w:after="60"/>
            </w:pPr>
            <w:r>
              <w:rPr>
                <w:sz w:val="18"/>
              </w:rPr>
              <w:t>f32</w:t>
            </w:r>
          </w:p>
        </w:tc>
        <w:tc>
          <w:tcPr>
            <w:tcW w:type="dxa" w:w="2493"/>
          </w:tcPr>
          <w:p>
            <w:pPr>
              <w:spacing w:after="60"/>
            </w:pPr>
            <w:r>
              <w:rPr>
                <w:sz w:val="18"/>
              </w:rPr>
              <w:t>0.50</w:t>
            </w:r>
          </w:p>
        </w:tc>
        <w:tc>
          <w:tcPr>
            <w:tcW w:type="dxa" w:w="2493"/>
          </w:tcPr>
          <w:p>
            <w:pPr>
              <w:spacing w:after="60"/>
            </w:pPr>
            <w:r>
              <w:rPr>
                <w:sz w:val="18"/>
              </w:rPr>
              <w:t>0.0-1.0</w:t>
            </w:r>
          </w:p>
        </w:tc>
      </w:tr>
      <w:tr>
        <w:tc>
          <w:tcPr>
            <w:tcW w:type="dxa" w:w="2493"/>
          </w:tcPr>
          <w:p>
            <w:pPr>
              <w:spacing w:after="60"/>
            </w:pPr>
            <w:r>
              <w:rPr>
                <w:sz w:val="18"/>
              </w:rPr>
              <w:t>https_bonus</w:t>
            </w:r>
          </w:p>
        </w:tc>
        <w:tc>
          <w:tcPr>
            <w:tcW w:type="dxa" w:w="2493"/>
          </w:tcPr>
          <w:p>
            <w:pPr>
              <w:spacing w:after="60"/>
            </w:pPr>
            <w:r>
              <w:rPr>
                <w:sz w:val="18"/>
              </w:rPr>
              <w:t>f32</w:t>
            </w:r>
          </w:p>
        </w:tc>
        <w:tc>
          <w:tcPr>
            <w:tcW w:type="dxa" w:w="2493"/>
          </w:tcPr>
          <w:p>
            <w:pPr>
              <w:spacing w:after="60"/>
            </w:pPr>
            <w:r>
              <w:rPr>
                <w:sz w:val="18"/>
              </w:rPr>
              <w:t>+0.10</w:t>
            </w:r>
          </w:p>
        </w:tc>
        <w:tc>
          <w:tcPr>
            <w:tcW w:type="dxa" w:w="2493"/>
          </w:tcPr>
          <w:p>
            <w:pPr>
              <w:spacing w:after="60"/>
            </w:pPr>
            <w:r>
              <w:rPr>
                <w:sz w:val="18"/>
              </w:rPr>
              <w:t>0.0-0.25</w:t>
            </w:r>
          </w:p>
        </w:tc>
      </w:tr>
      <w:tr>
        <w:tc>
          <w:tcPr>
            <w:tcW w:type="dxa" w:w="2493"/>
          </w:tcPr>
          <w:p>
            <w:pPr>
              <w:spacing w:after="60"/>
            </w:pPr>
            <w:r>
              <w:rPr>
                <w:sz w:val="18"/>
              </w:rPr>
              <w:t>allowlist_bonus</w:t>
            </w:r>
          </w:p>
        </w:tc>
        <w:tc>
          <w:tcPr>
            <w:tcW w:type="dxa" w:w="2493"/>
          </w:tcPr>
          <w:p>
            <w:pPr>
              <w:spacing w:after="60"/>
            </w:pPr>
            <w:r>
              <w:rPr>
                <w:sz w:val="18"/>
              </w:rPr>
              <w:t>f32</w:t>
            </w:r>
          </w:p>
        </w:tc>
        <w:tc>
          <w:tcPr>
            <w:tcW w:type="dxa" w:w="2493"/>
          </w:tcPr>
          <w:p>
            <w:pPr>
              <w:spacing w:after="60"/>
            </w:pPr>
            <w:r>
              <w:rPr>
                <w:sz w:val="18"/>
              </w:rPr>
              <w:t>+0.10</w:t>
            </w:r>
          </w:p>
        </w:tc>
        <w:tc>
          <w:tcPr>
            <w:tcW w:type="dxa" w:w="2493"/>
          </w:tcPr>
          <w:p>
            <w:pPr>
              <w:spacing w:after="60"/>
            </w:pPr>
            <w:r>
              <w:rPr>
                <w:sz w:val="18"/>
              </w:rPr>
              <w:t>0.0-0.25</w:t>
            </w:r>
          </w:p>
        </w:tc>
      </w:tr>
      <w:tr>
        <w:tc>
          <w:tcPr>
            <w:tcW w:type="dxa" w:w="2493"/>
          </w:tcPr>
          <w:p>
            <w:pPr>
              <w:spacing w:after="60"/>
            </w:pPr>
            <w:r>
              <w:rPr>
                <w:sz w:val="18"/>
              </w:rPr>
              <w:t>parser_warning_penalty</w:t>
            </w:r>
          </w:p>
        </w:tc>
        <w:tc>
          <w:tcPr>
            <w:tcW w:type="dxa" w:w="2493"/>
          </w:tcPr>
          <w:p>
            <w:pPr>
              <w:spacing w:after="60"/>
            </w:pPr>
            <w:r>
              <w:rPr>
                <w:sz w:val="18"/>
              </w:rPr>
              <w:t>f32</w:t>
            </w:r>
          </w:p>
        </w:tc>
        <w:tc>
          <w:tcPr>
            <w:tcW w:type="dxa" w:w="2493"/>
          </w:tcPr>
          <w:p>
            <w:pPr>
              <w:spacing w:after="60"/>
            </w:pPr>
            <w:r>
              <w:rPr>
                <w:sz w:val="18"/>
              </w:rPr>
              <w:t>-0.20</w:t>
            </w:r>
          </w:p>
        </w:tc>
        <w:tc>
          <w:tcPr>
            <w:tcW w:type="dxa" w:w="2493"/>
          </w:tcPr>
          <w:p>
            <w:pPr>
              <w:spacing w:after="60"/>
            </w:pPr>
            <w:r>
              <w:rPr>
                <w:sz w:val="18"/>
              </w:rPr>
              <w:t>-0.5-0.0</w:t>
            </w:r>
          </w:p>
        </w:tc>
      </w:tr>
      <w:tr>
        <w:tc>
          <w:tcPr>
            <w:tcW w:type="dxa" w:w="2493"/>
          </w:tcPr>
          <w:p>
            <w:pPr>
              <w:spacing w:after="60"/>
            </w:pPr>
            <w:r>
              <w:rPr>
                <w:sz w:val="18"/>
              </w:rPr>
              <w:t>min_corroborating_sources</w:t>
            </w:r>
          </w:p>
        </w:tc>
        <w:tc>
          <w:tcPr>
            <w:tcW w:type="dxa" w:w="2493"/>
          </w:tcPr>
          <w:p>
            <w:pPr>
              <w:spacing w:after="60"/>
            </w:pPr>
            <w:r>
              <w:rPr>
                <w:sz w:val="18"/>
              </w:rPr>
              <w:t>u32</w:t>
            </w:r>
          </w:p>
        </w:tc>
        <w:tc>
          <w:tcPr>
            <w:tcW w:type="dxa" w:w="2493"/>
          </w:tcPr>
          <w:p>
            <w:pPr>
              <w:spacing w:after="60"/>
            </w:pPr>
            <w:r>
              <w:rPr>
                <w:sz w:val="18"/>
              </w:rPr>
              <w:t>2</w:t>
            </w:r>
          </w:p>
        </w:tc>
        <w:tc>
          <w:tcPr>
            <w:tcW w:type="dxa" w:w="2493"/>
          </w:tcPr>
          <w:p>
            <w:pPr>
              <w:spacing w:after="60"/>
            </w:pPr>
            <w:r>
              <w:rPr>
                <w:sz w:val="18"/>
              </w:rPr>
              <w:t>1-5</w:t>
            </w:r>
          </w:p>
        </w:tc>
      </w:tr>
    </w:tbl>
    <w:p>
      <w:pPr>
        <w:pStyle w:val="Heading1"/>
      </w:pPr>
      <w:r>
        <w:t>Appendix C - Testing Guide</w:t>
      </w:r>
    </w:p>
    <w:p>
      <w:pPr>
        <w:spacing w:after="120"/>
      </w:pPr>
      <w:r>
        <w:t>The architecture should be validated with unit, integration, regression, and performance tests before large-scale personalization or deployment.</w:t>
      </w:r>
    </w:p>
    <w:p>
      <w:pPr>
        <w:pStyle w:val="Heading2"/>
      </w:pPr>
      <w:r>
        <w:t>C1. Unit Tests by Layer</w:t>
      </w:r>
    </w:p>
    <w:tbl>
      <w:tblPr>
        <w:tblStyle w:val="TableGrid"/>
        <w:tblW w:type="auto" w:w="0"/>
        <w:tblLook w:firstColumn="1" w:firstRow="1" w:lastColumn="0" w:lastRow="0" w:noHBand="0" w:noVBand="1" w:val="04A0"/>
      </w:tblPr>
      <w:tblGrid>
        <w:gridCol w:w="3324"/>
        <w:gridCol w:w="3324"/>
        <w:gridCol w:w="3324"/>
      </w:tblGrid>
      <w:tr>
        <w:tc>
          <w:tcPr>
            <w:tcW w:type="dxa" w:w="3324"/>
            <w:shd w:fill="F9E79F"/>
          </w:tcPr>
          <w:p>
            <w:pPr>
              <w:spacing w:after="60" w:before="0"/>
            </w:pPr>
            <w:r>
              <w:rPr>
                <w:b/>
                <w:sz w:val="18"/>
              </w:rPr>
              <w:t>Layer</w:t>
            </w:r>
          </w:p>
        </w:tc>
        <w:tc>
          <w:tcPr>
            <w:tcW w:type="dxa" w:w="3324"/>
            <w:shd w:fill="F9E79F"/>
          </w:tcPr>
          <w:p>
            <w:pPr>
              <w:spacing w:after="60" w:before="0"/>
            </w:pPr>
            <w:r>
              <w:rPr>
                <w:b/>
                <w:sz w:val="18"/>
              </w:rPr>
              <w:t>Test Focus</w:t>
            </w:r>
          </w:p>
        </w:tc>
        <w:tc>
          <w:tcPr>
            <w:tcW w:type="dxa" w:w="3324"/>
            <w:shd w:fill="F9E79F"/>
          </w:tcPr>
          <w:p>
            <w:pPr>
              <w:spacing w:after="60" w:before="0"/>
            </w:pPr>
            <w:r>
              <w:rPr>
                <w:b/>
                <w:sz w:val="18"/>
              </w:rPr>
              <w:t>Example Fixture</w:t>
            </w:r>
          </w:p>
        </w:tc>
      </w:tr>
      <w:tr>
        <w:tc>
          <w:tcPr>
            <w:tcW w:type="dxa" w:w="3324"/>
          </w:tcPr>
          <w:p>
            <w:pPr>
              <w:spacing w:after="60" w:before="0"/>
            </w:pPr>
            <w:r>
              <w:rPr>
                <w:sz w:val="18"/>
              </w:rPr>
              <w:t>Layer 2</w:t>
            </w:r>
          </w:p>
        </w:tc>
        <w:tc>
          <w:tcPr>
            <w:tcW w:type="dxa" w:w="3324"/>
          </w:tcPr>
          <w:p>
            <w:pPr>
              <w:spacing w:after="60" w:before="0"/>
            </w:pPr>
            <w:r>
              <w:rPr>
                <w:sz w:val="18"/>
              </w:rPr>
              <w:t>Dynamic unit discovery and pruning</w:t>
            </w:r>
          </w:p>
        </w:tc>
        <w:tc>
          <w:tcPr>
            <w:tcW w:type="dxa" w:w="3324"/>
          </w:tcPr>
          <w:p>
            <w:pPr>
              <w:spacing w:after="60" w:before="0"/>
            </w:pPr>
            <w:r>
              <w:rPr>
                <w:sz w:val="18"/>
              </w:rPr>
              <w:t>Known repeated n-gram corpus with injected noise</w:t>
            </w:r>
          </w:p>
        </w:tc>
      </w:tr>
      <w:tr>
        <w:tc>
          <w:tcPr>
            <w:tcW w:type="dxa" w:w="3324"/>
          </w:tcPr>
          <w:p>
            <w:pPr>
              <w:spacing w:after="60" w:before="0"/>
            </w:pPr>
            <w:r>
              <w:rPr>
                <w:sz w:val="18"/>
              </w:rPr>
              <w:t>Layer 5</w:t>
            </w:r>
          </w:p>
        </w:tc>
        <w:tc>
          <w:tcPr>
            <w:tcW w:type="dxa" w:w="3324"/>
          </w:tcPr>
          <w:p>
            <w:pPr>
              <w:spacing w:after="60" w:before="0"/>
            </w:pPr>
            <w:r>
              <w:rPr>
                <w:sz w:val="18"/>
              </w:rPr>
              <w:t>Map stability under repeated updates</w:t>
            </w:r>
          </w:p>
        </w:tc>
        <w:tc>
          <w:tcPr>
            <w:tcW w:type="dxa" w:w="3324"/>
          </w:tcPr>
          <w:p>
            <w:pPr>
              <w:spacing w:after="60" w:before="0"/>
            </w:pPr>
            <w:r>
              <w:rPr>
                <w:sz w:val="18"/>
              </w:rPr>
              <w:t>10k force-directed correction sequence</w:t>
            </w:r>
          </w:p>
        </w:tc>
      </w:tr>
      <w:tr>
        <w:tc>
          <w:tcPr>
            <w:tcW w:type="dxa" w:w="3324"/>
          </w:tcPr>
          <w:p>
            <w:pPr>
              <w:spacing w:after="60" w:before="0"/>
            </w:pPr>
            <w:r>
              <w:rPr>
                <w:sz w:val="18"/>
              </w:rPr>
              <w:t>Layer 9</w:t>
            </w:r>
          </w:p>
        </w:tc>
        <w:tc>
          <w:tcPr>
            <w:tcW w:type="dxa" w:w="3324"/>
          </w:tcPr>
          <w:p>
            <w:pPr>
              <w:spacing w:after="60" w:before="0"/>
            </w:pPr>
            <w:r>
              <w:rPr>
                <w:sz w:val="18"/>
              </w:rPr>
              <w:t>Retrieval gating accuracy</w:t>
            </w:r>
          </w:p>
        </w:tc>
        <w:tc>
          <w:tcPr>
            <w:tcW w:type="dxa" w:w="3324"/>
          </w:tcPr>
          <w:p>
            <w:pPr>
              <w:spacing w:after="60" w:before="0"/>
            </w:pPr>
            <w:r>
              <w:rPr>
                <w:sz w:val="18"/>
              </w:rPr>
              <w:t>Labeled query set with stale vs. stable knowledge</w:t>
            </w:r>
          </w:p>
        </w:tc>
      </w:tr>
      <w:tr>
        <w:tc>
          <w:tcPr>
            <w:tcW w:type="dxa" w:w="3324"/>
          </w:tcPr>
          <w:p>
            <w:pPr>
              <w:spacing w:after="60" w:before="0"/>
            </w:pPr>
            <w:r>
              <w:rPr>
                <w:sz w:val="18"/>
              </w:rPr>
              <w:t>Layer 12</w:t>
            </w:r>
          </w:p>
        </w:tc>
        <w:tc>
          <w:tcPr>
            <w:tcW w:type="dxa" w:w="3324"/>
          </w:tcPr>
          <w:p>
            <w:pPr>
              <w:spacing w:after="60" w:before="0"/>
            </w:pPr>
            <w:r>
              <w:rPr>
                <w:sz w:val="18"/>
              </w:rPr>
              <w:t>External content cleaning and injection defense</w:t>
            </w:r>
          </w:p>
        </w:tc>
        <w:tc>
          <w:tcPr>
            <w:tcW w:type="dxa" w:w="3324"/>
          </w:tcPr>
          <w:p>
            <w:pPr>
              <w:spacing w:after="60" w:before="0"/>
            </w:pPr>
            <w:r>
              <w:rPr>
                <w:sz w:val="18"/>
              </w:rPr>
              <w:t>HTML + PDF fixtures with boilerplate and adversarial strings</w:t>
            </w:r>
          </w:p>
        </w:tc>
      </w:tr>
      <w:tr>
        <w:tc>
          <w:tcPr>
            <w:tcW w:type="dxa" w:w="3324"/>
          </w:tcPr>
          <w:p>
            <w:pPr>
              <w:spacing w:after="60" w:before="0"/>
            </w:pPr>
            <w:r>
              <w:rPr>
                <w:sz w:val="18"/>
              </w:rPr>
              <w:t>Layer 21</w:t>
            </w:r>
          </w:p>
        </w:tc>
        <w:tc>
          <w:tcPr>
            <w:tcW w:type="dxa" w:w="3324"/>
          </w:tcPr>
          <w:p>
            <w:pPr>
              <w:spacing w:after="60" w:before="0"/>
            </w:pPr>
            <w:r>
              <w:rPr>
                <w:sz w:val="18"/>
              </w:rPr>
              <w:t>Anchor protection under aggressive pruning</w:t>
            </w:r>
          </w:p>
        </w:tc>
        <w:tc>
          <w:tcPr>
            <w:tcW w:type="dxa" w:w="3324"/>
          </w:tcPr>
          <w:p>
            <w:pPr>
              <w:spacing w:after="60" w:before="0"/>
            </w:pPr>
            <w:r>
              <w:rPr>
                <w:sz w:val="18"/>
              </w:rPr>
              <w:t>Stress test with protected and unprotected mixed units</w:t>
            </w:r>
          </w:p>
        </w:tc>
      </w:tr>
    </w:tbl>
    <w:p>
      <w:pPr>
        <w:pStyle w:val="Heading2"/>
      </w:pPr>
      <w:r>
        <w:t>C2. Integration and Regression Tests</w:t>
      </w:r>
    </w:p>
    <w:p>
      <w:pPr>
        <w:pStyle w:val="ListBullet"/>
        <w:spacing w:after="40"/>
      </w:pPr>
      <w:r>
        <w:t>End-to-end inference test: verify internal candidate search works without retrieval and stays within latency budget.</w:t>
      </w:r>
    </w:p>
    <w:p>
      <w:pPr>
        <w:pStyle w:val="ListBullet"/>
        <w:spacing w:after="40"/>
      </w:pPr>
      <w:r>
        <w:t>Retrieval-enabled test: verify external retrieval improves answers on dynamic facts without corrupting stable memory.</w:t>
      </w:r>
    </w:p>
    <w:p>
      <w:pPr>
        <w:pStyle w:val="ListBullet"/>
        <w:spacing w:after="40"/>
      </w:pPr>
      <w:r>
        <w:t>Silent Training Mode test: verify Layer 9 is bypassed and Layers 14-17 remain inactive while telemetry is emitted.</w:t>
      </w:r>
    </w:p>
    <w:p>
      <w:pPr>
        <w:pStyle w:val="ListBullet"/>
        <w:spacing w:after="40"/>
      </w:pPr>
      <w:r>
        <w:t>Persistence test: verify snapshot restore preserves map positions, anchors, and core/episodic distinctions.</w:t>
      </w:r>
    </w:p>
    <w:p>
      <w:pPr>
        <w:pStyle w:val="Heading2"/>
      </w:pPr>
      <w:r>
        <w:t>C3. Performance Benchmarks</w:t>
      </w:r>
    </w:p>
    <w:p>
      <w:pPr/>
      <w:r>
        <w:rPr>
          <w:sz w:val="20"/>
        </w:rPr>
        <w:t>Assumption note: the memory-growth target assumes approximately 200 queries per day, average query lengths of 50 to 100 tokens, and an external retrieval rate of roughly 20 percent.</w:t>
      </w:r>
    </w:p>
    <w:tbl>
      <w:tblPr>
        <w:tblStyle w:val="TableGrid"/>
        <w:tblW w:type="auto" w:w="0"/>
        <w:tblLook w:firstColumn="1" w:firstRow="1" w:lastColumn="0" w:lastRow="0" w:noHBand="0" w:noVBand="1" w:val="04A0"/>
      </w:tblPr>
      <w:tblGrid>
        <w:gridCol w:w="3324"/>
        <w:gridCol w:w="3324"/>
        <w:gridCol w:w="3324"/>
      </w:tblGrid>
      <w:tr>
        <w:tc>
          <w:tcPr>
            <w:tcW w:type="dxa" w:w="3324"/>
            <w:shd w:fill="D5F5E3"/>
          </w:tcPr>
          <w:p>
            <w:pPr>
              <w:spacing w:after="60" w:before="0"/>
            </w:pPr>
            <w:r>
              <w:rPr>
                <w:b/>
                <w:sz w:val="18"/>
              </w:rPr>
              <w:t>Benchmark</w:t>
            </w:r>
          </w:p>
        </w:tc>
        <w:tc>
          <w:tcPr>
            <w:tcW w:type="dxa" w:w="3324"/>
            <w:shd w:fill="D5F5E3"/>
          </w:tcPr>
          <w:p>
            <w:pPr>
              <w:spacing w:after="60" w:before="0"/>
            </w:pPr>
            <w:r>
              <w:rPr>
                <w:b/>
                <w:sz w:val="18"/>
              </w:rPr>
              <w:t>Target</w:t>
            </w:r>
          </w:p>
        </w:tc>
        <w:tc>
          <w:tcPr>
            <w:tcW w:type="dxa" w:w="3324"/>
            <w:shd w:fill="D5F5E3"/>
          </w:tcPr>
          <w:p>
            <w:pPr>
              <w:spacing w:after="60" w:before="0"/>
            </w:pPr>
            <w:r>
              <w:rPr>
                <w:b/>
                <w:sz w:val="18"/>
              </w:rPr>
              <w:t>Measurement</w:t>
            </w:r>
          </w:p>
        </w:tc>
      </w:tr>
      <w:tr>
        <w:tc>
          <w:tcPr>
            <w:tcW w:type="dxa" w:w="3324"/>
          </w:tcPr>
          <w:p>
            <w:pPr>
              <w:spacing w:after="60" w:before="0"/>
            </w:pPr>
            <w:r>
              <w:rPr>
                <w:sz w:val="18"/>
              </w:rPr>
              <w:t>Interactive latency</w:t>
            </w:r>
          </w:p>
        </w:tc>
        <w:tc>
          <w:tcPr>
            <w:tcW w:type="dxa" w:w="3324"/>
          </w:tcPr>
          <w:p>
            <w:pPr>
              <w:spacing w:after="60" w:before="0"/>
            </w:pPr>
            <w:r>
              <w:rPr>
                <w:sz w:val="18"/>
              </w:rPr>
              <w:t>&lt;200 ms per token on target CPU profile</w:t>
            </w:r>
          </w:p>
        </w:tc>
        <w:tc>
          <w:tcPr>
            <w:tcW w:type="dxa" w:w="3324"/>
          </w:tcPr>
          <w:p>
            <w:pPr>
              <w:spacing w:after="60" w:before="0"/>
            </w:pPr>
            <w:r>
              <w:rPr>
                <w:sz w:val="18"/>
              </w:rPr>
              <w:t>Mixed workload profiling</w:t>
            </w:r>
          </w:p>
        </w:tc>
      </w:tr>
      <w:tr>
        <w:tc>
          <w:tcPr>
            <w:tcW w:type="dxa" w:w="3324"/>
          </w:tcPr>
          <w:p>
            <w:pPr>
              <w:spacing w:after="60" w:before="0"/>
            </w:pPr>
            <w:r>
              <w:rPr>
                <w:sz w:val="18"/>
              </w:rPr>
              <w:t>Memory growth</w:t>
            </w:r>
          </w:p>
        </w:tc>
        <w:tc>
          <w:tcPr>
            <w:tcW w:type="dxa" w:w="3324"/>
          </w:tcPr>
          <w:p>
            <w:pPr>
              <w:spacing w:after="60" w:before="0"/>
            </w:pPr>
            <w:r>
              <w:rPr>
                <w:sz w:val="18"/>
              </w:rPr>
              <w:t>&lt;1 MB/day under ~200 queries/day with &lt;=20% retrieval</w:t>
            </w:r>
          </w:p>
        </w:tc>
        <w:tc>
          <w:tcPr>
            <w:tcW w:type="dxa" w:w="3324"/>
          </w:tcPr>
          <w:p>
            <w:pPr>
              <w:spacing w:after="60" w:before="0"/>
            </w:pPr>
            <w:r>
              <w:rPr>
                <w:sz w:val="18"/>
              </w:rPr>
              <w:t>Long-run stress test with compaction</w:t>
            </w:r>
          </w:p>
        </w:tc>
      </w:tr>
      <w:tr>
        <w:tc>
          <w:tcPr>
            <w:tcW w:type="dxa" w:w="3324"/>
          </w:tcPr>
          <w:p>
            <w:pPr>
              <w:spacing w:after="60" w:before="0"/>
            </w:pPr>
            <w:r>
              <w:rPr>
                <w:sz w:val="18"/>
              </w:rPr>
              <w:t>Silent training throughput</w:t>
            </w:r>
          </w:p>
        </w:tc>
        <w:tc>
          <w:tcPr>
            <w:tcW w:type="dxa" w:w="3324"/>
          </w:tcPr>
          <w:p>
            <w:pPr>
              <w:spacing w:after="60" w:before="0"/>
            </w:pPr>
            <w:r>
              <w:rPr>
                <w:sz w:val="18"/>
              </w:rPr>
              <w:t>Sustained document ingestion without inference starvation</w:t>
            </w:r>
          </w:p>
        </w:tc>
        <w:tc>
          <w:tcPr>
            <w:tcW w:type="dxa" w:w="3324"/>
          </w:tcPr>
          <w:p>
            <w:pPr>
              <w:spacing w:after="60" w:before="0"/>
            </w:pPr>
            <w:r>
              <w:rPr>
                <w:sz w:val="18"/>
              </w:rPr>
              <w:t>Concurrent queue benchmark</w:t>
            </w:r>
          </w:p>
        </w:tc>
      </w:tr>
    </w:tbl>
    <w:p>
      <w:r>
        <w:br w:type="page"/>
      </w:r>
    </w:p>
    <w:p>
      <w:pPr>
        <w:pStyle w:val="Heading1"/>
      </w:pPr>
      <w:r>
        <w:t>Appendix D - Reference Code Snippets</w:t>
      </w:r>
    </w:p>
    <w:p>
      <w:pPr>
        <w:spacing w:after="120"/>
      </w:pPr>
      <w:r>
        <w:t>These snippets are illustrative rather than prescriptive. Their purpose is to anchor the architecture in concrete implementation patterns so coding agents and engineering teams can translate the layer specifications into executable modules with fewer assumptions.</w:t>
      </w:r>
    </w:p>
    <w:p>
      <w:pPr>
        <w:pStyle w:val="Heading2"/>
      </w:pPr>
      <w:r>
        <w:t>D1. Layer 2 - Seeded Adaptive Unit Builder Example</w:t>
      </w:r>
    </w:p>
    <w:p>
      <w:pPr>
        <w:spacing w:after="120"/>
      </w:pPr>
      <w:r>
        <w:t>The following Rust-style sketch shows how a unit builder can activate existing units, create new units when thresholds permit, and return both activated and newly discovered units for downstream routing.</w:t>
      </w:r>
    </w:p>
    <w:p>
      <w:pPr>
        <w:spacing w:after="0"/>
      </w:pPr>
      <w:r>
        <w:rPr>
          <w:rFonts w:ascii="Courier New" w:hAnsi="Courier New" w:eastAsia="Courier New"/>
          <w:sz w:val="17"/>
        </w:rPr>
        <w:t>#[derive(Clone)]</w:t>
      </w:r>
    </w:p>
    <w:p>
      <w:pPr>
        <w:spacing w:after="0"/>
      </w:pPr>
      <w:r>
        <w:rPr>
          <w:rFonts w:ascii="Courier New" w:hAnsi="Courier New" w:eastAsia="Courier New"/>
          <w:sz w:val="17"/>
        </w:rPr>
        <w:t>struct Unit {</w:t>
      </w:r>
    </w:p>
    <w:p>
      <w:pPr>
        <w:spacing w:after="0"/>
      </w:pPr>
      <w:r>
        <w:rPr>
          <w:rFonts w:ascii="Courier New" w:hAnsi="Courier New" w:eastAsia="Courier New"/>
          <w:sz w:val="17"/>
        </w:rPr>
        <w:t xml:space="preserve">    id: uuid::Uuid,</w:t>
      </w:r>
    </w:p>
    <w:p>
      <w:pPr>
        <w:spacing w:after="0"/>
      </w:pPr>
      <w:r>
        <w:rPr>
          <w:rFonts w:ascii="Courier New" w:hAnsi="Courier New" w:eastAsia="Courier New"/>
          <w:sz w:val="17"/>
        </w:rPr>
        <w:t xml:space="preserve">    content: Vec&lt;u8&gt;,</w:t>
      </w:r>
    </w:p>
    <w:p>
      <w:pPr>
        <w:spacing w:after="0"/>
      </w:pPr>
      <w:r>
        <w:rPr>
          <w:rFonts w:ascii="Courier New" w:hAnsi="Courier New" w:eastAsia="Courier New"/>
          <w:sz w:val="17"/>
        </w:rPr>
        <w:t xml:space="preserve">    frequency: u64,</w:t>
      </w:r>
    </w:p>
    <w:p>
      <w:pPr>
        <w:spacing w:after="0"/>
      </w:pPr>
      <w:r>
        <w:rPr>
          <w:rFonts w:ascii="Courier New" w:hAnsi="Courier New" w:eastAsia="Courier New"/>
          <w:sz w:val="17"/>
        </w:rPr>
        <w:t xml:space="preserve">    utility_score: f32,</w:t>
      </w:r>
    </w:p>
    <w:p>
      <w:pPr>
        <w:spacing w:after="0"/>
      </w:pPr>
      <w:r>
        <w:rPr>
          <w:rFonts w:ascii="Courier New" w:hAnsi="Courier New" w:eastAsia="Courier New"/>
          <w:sz w:val="17"/>
        </w:rPr>
        <w:t xml:space="preserve">    semantic_position: [f32; 3],</w:t>
      </w:r>
    </w:p>
    <w:p>
      <w:pPr>
        <w:spacing w:after="0"/>
      </w:pPr>
      <w:r>
        <w:rPr>
          <w:rFonts w:ascii="Courier New" w:hAnsi="Courier New" w:eastAsia="Courier New"/>
          <w:sz w:val="17"/>
        </w:rPr>
        <w:t xml:space="preserve">    anchor_status: bool,</w:t>
      </w:r>
    </w:p>
    <w:p>
      <w:pPr>
        <w:spacing w:after="0"/>
      </w:pPr>
      <w:r>
        <w:rPr>
          <w:rFonts w:ascii="Courier New" w:hAnsi="Courier New" w:eastAsia="Courier New"/>
          <w:sz w:val="17"/>
        </w:rPr>
        <w:t xml:space="preserve">    memory_type: MemoryType,</w:t>
      </w:r>
    </w:p>
    <w:p>
      <w:pPr>
        <w:spacing w:after="0"/>
      </w:pPr>
      <w:r>
        <w:rPr>
          <w:rFonts w:ascii="Courier New" w:hAnsi="Courier New" w:eastAsia="Courier New"/>
          <w:sz w:val="17"/>
        </w:rPr>
        <w:t>}</w:t>
      </w:r>
    </w:p>
    <w:p>
      <w:pPr>
        <w:spacing w:after="0"/>
      </w:pPr>
      <w:r>
        <w:rPr>
          <w:rFonts w:ascii="Courier New" w:hAnsi="Courier New" w:eastAsia="Courier New"/>
          <w:sz w:val="17"/>
        </w:rPr>
      </w:r>
    </w:p>
    <w:p>
      <w:pPr>
        <w:spacing w:after="0"/>
      </w:pPr>
      <w:r>
        <w:rPr>
          <w:rFonts w:ascii="Courier New" w:hAnsi="Courier New" w:eastAsia="Courier New"/>
          <w:sz w:val="17"/>
        </w:rPr>
        <w:t>fn ingest(&amp;mut self, raw_bytes: &amp;[u8]) -&gt; (Vec&lt;Unit&gt;, Vec&lt;Unit&gt;) {</w:t>
      </w:r>
    </w:p>
    <w:p>
      <w:pPr>
        <w:spacing w:after="0"/>
      </w:pPr>
      <w:r>
        <w:rPr>
          <w:rFonts w:ascii="Courier New" w:hAnsi="Courier New" w:eastAsia="Courier New"/>
          <w:sz w:val="17"/>
        </w:rPr>
        <w:t xml:space="preserve">    let mut activated = Vec::new();</w:t>
      </w:r>
    </w:p>
    <w:p>
      <w:pPr>
        <w:spacing w:after="0"/>
      </w:pPr>
      <w:r>
        <w:rPr>
          <w:rFonts w:ascii="Courier New" w:hAnsi="Courier New" w:eastAsia="Courier New"/>
          <w:sz w:val="17"/>
        </w:rPr>
        <w:t xml:space="preserve">    let mut new_units = Vec::new();</w:t>
      </w:r>
    </w:p>
    <w:p>
      <w:pPr>
        <w:spacing w:after="0"/>
      </w:pPr>
      <w:r>
        <w:rPr>
          <w:rFonts w:ascii="Courier New" w:hAnsi="Courier New" w:eastAsia="Courier New"/>
          <w:sz w:val="17"/>
        </w:rPr>
      </w:r>
    </w:p>
    <w:p>
      <w:pPr>
        <w:spacing w:after="0"/>
      </w:pPr>
      <w:r>
        <w:rPr>
          <w:rFonts w:ascii="Courier New" w:hAnsi="Courier New" w:eastAsia="Courier New"/>
          <w:sz w:val="17"/>
        </w:rPr>
        <w:t xml:space="preserve">    for pattern in self.find_repeated_patterns(raw_bytes) {</w:t>
      </w:r>
    </w:p>
    <w:p>
      <w:pPr>
        <w:spacing w:after="0"/>
      </w:pPr>
      <w:r>
        <w:rPr>
          <w:rFonts w:ascii="Courier New" w:hAnsi="Courier New" w:eastAsia="Courier New"/>
          <w:sz w:val="17"/>
        </w:rPr>
        <w:t xml:space="preserve">        if let Some(unit) = self.units.get_mut(&amp;pattern) {</w:t>
      </w:r>
    </w:p>
    <w:p>
      <w:pPr>
        <w:spacing w:after="0"/>
      </w:pPr>
      <w:r>
        <w:rPr>
          <w:rFonts w:ascii="Courier New" w:hAnsi="Courier New" w:eastAsia="Courier New"/>
          <w:sz w:val="17"/>
        </w:rPr>
        <w:t xml:space="preserve">            unit.frequency += 1;</w:t>
      </w:r>
    </w:p>
    <w:p>
      <w:pPr>
        <w:spacing w:after="0"/>
      </w:pPr>
      <w:r>
        <w:rPr>
          <w:rFonts w:ascii="Courier New" w:hAnsi="Courier New" w:eastAsia="Courier New"/>
          <w:sz w:val="17"/>
        </w:rPr>
        <w:t xml:space="preserve">            activated.push(unit.clone());</w:t>
      </w:r>
    </w:p>
    <w:p>
      <w:pPr>
        <w:spacing w:after="0"/>
      </w:pPr>
      <w:r>
        <w:rPr>
          <w:rFonts w:ascii="Courier New" w:hAnsi="Courier New" w:eastAsia="Courier New"/>
          <w:sz w:val="17"/>
        </w:rPr>
        <w:t xml:space="preserve">        } else if self.passes_min_threshold(&amp;pattern) {</w:t>
      </w:r>
    </w:p>
    <w:p>
      <w:pPr>
        <w:spacing w:after="0"/>
      </w:pPr>
      <w:r>
        <w:rPr>
          <w:rFonts w:ascii="Courier New" w:hAnsi="Courier New" w:eastAsia="Courier New"/>
          <w:sz w:val="17"/>
        </w:rPr>
        <w:t xml:space="preserve">            let unit = Unit {</w:t>
      </w:r>
    </w:p>
    <w:p>
      <w:pPr>
        <w:spacing w:after="0"/>
      </w:pPr>
      <w:r>
        <w:rPr>
          <w:rFonts w:ascii="Courier New" w:hAnsi="Courier New" w:eastAsia="Courier New"/>
          <w:sz w:val="17"/>
        </w:rPr>
        <w:t xml:space="preserve">                id: uuid::Uuid::new_v4(),</w:t>
      </w:r>
    </w:p>
    <w:p>
      <w:pPr>
        <w:spacing w:after="0"/>
      </w:pPr>
      <w:r>
        <w:rPr>
          <w:rFonts w:ascii="Courier New" w:hAnsi="Courier New" w:eastAsia="Courier New"/>
          <w:sz w:val="17"/>
        </w:rPr>
        <w:t xml:space="preserve">                content: pattern.clone(),</w:t>
      </w:r>
    </w:p>
    <w:p>
      <w:pPr>
        <w:spacing w:after="0"/>
      </w:pPr>
      <w:r>
        <w:rPr>
          <w:rFonts w:ascii="Courier New" w:hAnsi="Courier New" w:eastAsia="Courier New"/>
          <w:sz w:val="17"/>
        </w:rPr>
        <w:t xml:space="preserve">                frequency: 1,</w:t>
      </w:r>
    </w:p>
    <w:p>
      <w:pPr>
        <w:spacing w:after="0"/>
      </w:pPr>
      <w:r>
        <w:rPr>
          <w:rFonts w:ascii="Courier New" w:hAnsi="Courier New" w:eastAsia="Courier New"/>
          <w:sz w:val="17"/>
        </w:rPr>
        <w:t xml:space="preserve">                utility_score: self.config.initial_utility,</w:t>
      </w:r>
    </w:p>
    <w:p>
      <w:pPr>
        <w:spacing w:after="0"/>
      </w:pPr>
      <w:r>
        <w:rPr>
          <w:rFonts w:ascii="Courier New" w:hAnsi="Courier New" w:eastAsia="Courier New"/>
          <w:sz w:val="17"/>
        </w:rPr>
        <w:t xml:space="preserve">                semantic_position: [0.0, 0.0, 0.0],</w:t>
      </w:r>
    </w:p>
    <w:p>
      <w:pPr>
        <w:spacing w:after="0"/>
      </w:pPr>
      <w:r>
        <w:rPr>
          <w:rFonts w:ascii="Courier New" w:hAnsi="Courier New" w:eastAsia="Courier New"/>
          <w:sz w:val="17"/>
        </w:rPr>
        <w:t xml:space="preserve">                anchor_status: false,</w:t>
      </w:r>
    </w:p>
    <w:p>
      <w:pPr>
        <w:spacing w:after="0"/>
      </w:pPr>
      <w:r>
        <w:rPr>
          <w:rFonts w:ascii="Courier New" w:hAnsi="Courier New" w:eastAsia="Courier New"/>
          <w:sz w:val="17"/>
        </w:rPr>
        <w:t xml:space="preserve">                memory_type: MemoryType::Episodic,</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self.units.insert(pattern.clone(), unit.clone());</w:t>
      </w:r>
    </w:p>
    <w:p>
      <w:pPr>
        <w:spacing w:after="0"/>
      </w:pPr>
      <w:r>
        <w:rPr>
          <w:rFonts w:ascii="Courier New" w:hAnsi="Courier New" w:eastAsia="Courier New"/>
          <w:sz w:val="17"/>
        </w:rPr>
        <w:t xml:space="preserve">            activated.push(unit.clone());</w:t>
      </w:r>
    </w:p>
    <w:p>
      <w:pPr>
        <w:spacing w:after="0"/>
      </w:pPr>
      <w:r>
        <w:rPr>
          <w:rFonts w:ascii="Courier New" w:hAnsi="Courier New" w:eastAsia="Courier New"/>
          <w:sz w:val="17"/>
        </w:rPr>
        <w:t xml:space="preserve">            new_units.push(unit);</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w:t>
      </w:r>
    </w:p>
    <w:p>
      <w:pPr>
        <w:spacing w:after="0"/>
      </w:pPr>
      <w:r>
        <w:rPr>
          <w:rFonts w:ascii="Courier New" w:hAnsi="Courier New" w:eastAsia="Courier New"/>
          <w:sz w:val="17"/>
        </w:rPr>
      </w:r>
    </w:p>
    <w:p>
      <w:pPr>
        <w:spacing w:after="0"/>
      </w:pPr>
      <w:r>
        <w:rPr>
          <w:rFonts w:ascii="Courier New" w:hAnsi="Courier New" w:eastAsia="Courier New"/>
          <w:sz w:val="17"/>
        </w:rPr>
        <w:t xml:space="preserve">    (activated, new_units)</w:t>
      </w:r>
    </w:p>
    <w:p>
      <w:pPr>
        <w:spacing w:after="0"/>
      </w:pPr>
      <w:r>
        <w:rPr>
          <w:rFonts w:ascii="Courier New" w:hAnsi="Courier New" w:eastAsia="Courier New"/>
          <w:sz w:val="17"/>
        </w:rPr>
        <w:t>}</w:t>
      </w:r>
    </w:p>
    <w:p>
      <w:pPr>
        <w:pStyle w:val="Heading2"/>
      </w:pPr>
      <w:r>
        <w:t>D2. Layer 9 - Retrieval Gate Scoring Example</w:t>
      </w:r>
    </w:p>
    <w:p>
      <w:pPr>
        <w:spacing w:after="120"/>
      </w:pPr>
      <w:r>
        <w:t>This example makes the weighted retrieval policy operational. The ablation rule of entropy &gt; τ1 OR recency &gt; τ2 remains valid for controlled experiments, while the weighted policy is the production-oriented decision rule.</w:t>
      </w:r>
    </w:p>
    <w:p>
      <w:pPr>
        <w:spacing w:after="0"/>
      </w:pPr>
      <w:r>
        <w:rPr>
          <w:rFonts w:ascii="Courier New" w:hAnsi="Courier New" w:eastAsia="Courier New"/>
          <w:sz w:val="17"/>
        </w:rPr>
        <w:t>struct RetrievalFeatures {</w:t>
      </w:r>
    </w:p>
    <w:p>
      <w:pPr>
        <w:spacing w:after="0"/>
      </w:pPr>
      <w:r>
        <w:rPr>
          <w:rFonts w:ascii="Courier New" w:hAnsi="Courier New" w:eastAsia="Courier New"/>
          <w:sz w:val="17"/>
        </w:rPr>
        <w:t xml:space="preserve">    entropy: f32,</w:t>
      </w:r>
    </w:p>
    <w:p>
      <w:pPr>
        <w:spacing w:after="0"/>
      </w:pPr>
      <w:r>
        <w:rPr>
          <w:rFonts w:ascii="Courier New" w:hAnsi="Courier New" w:eastAsia="Courier New"/>
          <w:sz w:val="17"/>
        </w:rPr>
        <w:t xml:space="preserve">    recency_risk: f32,</w:t>
      </w:r>
    </w:p>
    <w:p>
      <w:pPr>
        <w:spacing w:after="0"/>
      </w:pPr>
      <w:r>
        <w:rPr>
          <w:rFonts w:ascii="Courier New" w:hAnsi="Courier New" w:eastAsia="Courier New"/>
          <w:sz w:val="17"/>
        </w:rPr>
        <w:t xml:space="preserve">    disagreement: f32,</w:t>
      </w:r>
    </w:p>
    <w:p>
      <w:pPr>
        <w:spacing w:after="0"/>
      </w:pPr>
      <w:r>
        <w:rPr>
          <w:rFonts w:ascii="Courier New" w:hAnsi="Courier New" w:eastAsia="Courier New"/>
          <w:sz w:val="17"/>
        </w:rPr>
        <w:t xml:space="preserve">    cost_penalty: f32,</w:t>
      </w:r>
    </w:p>
    <w:p>
      <w:pPr>
        <w:spacing w:after="0"/>
      </w:pPr>
      <w:r>
        <w:rPr>
          <w:rFonts w:ascii="Courier New" w:hAnsi="Courier New" w:eastAsia="Courier New"/>
          <w:sz w:val="17"/>
        </w:rPr>
        <w:t>}</w:t>
      </w:r>
    </w:p>
    <w:p>
      <w:pPr>
        <w:spacing w:after="0"/>
      </w:pPr>
      <w:r>
        <w:rPr>
          <w:rFonts w:ascii="Courier New" w:hAnsi="Courier New" w:eastAsia="Courier New"/>
          <w:sz w:val="17"/>
        </w:rPr>
      </w:r>
    </w:p>
    <w:p>
      <w:pPr>
        <w:spacing w:after="0"/>
      </w:pPr>
      <w:r>
        <w:rPr>
          <w:rFonts w:ascii="Courier New" w:hAnsi="Courier New" w:eastAsia="Courier New"/>
          <w:sz w:val="17"/>
        </w:rPr>
        <w:t>fn should_retrieve(f: &amp;RetrievalFeatures, cfg: &amp;Config) -&gt; bool {</w:t>
      </w:r>
    </w:p>
    <w:p>
      <w:pPr>
        <w:spacing w:after="0"/>
      </w:pPr>
      <w:r>
        <w:rPr>
          <w:rFonts w:ascii="Courier New" w:hAnsi="Courier New" w:eastAsia="Courier New"/>
          <w:sz w:val="17"/>
        </w:rPr>
        <w:t xml:space="preserve">    let score =</w:t>
      </w:r>
    </w:p>
    <w:p>
      <w:pPr>
        <w:spacing w:after="0"/>
      </w:pPr>
      <w:r>
        <w:rPr>
          <w:rFonts w:ascii="Courier New" w:hAnsi="Courier New" w:eastAsia="Courier New"/>
          <w:sz w:val="17"/>
        </w:rPr>
        <w:t xml:space="preserve">        cfg.w_entropy * f.entropy +</w:t>
      </w:r>
    </w:p>
    <w:p>
      <w:pPr>
        <w:spacing w:after="0"/>
      </w:pPr>
      <w:r>
        <w:rPr>
          <w:rFonts w:ascii="Courier New" w:hAnsi="Courier New" w:eastAsia="Courier New"/>
          <w:sz w:val="17"/>
        </w:rPr>
        <w:t xml:space="preserve">        cfg.w_recency * f.recency_risk +</w:t>
      </w:r>
    </w:p>
    <w:p>
      <w:pPr>
        <w:spacing w:after="0"/>
      </w:pPr>
      <w:r>
        <w:rPr>
          <w:rFonts w:ascii="Courier New" w:hAnsi="Courier New" w:eastAsia="Courier New"/>
          <w:sz w:val="17"/>
        </w:rPr>
        <w:t xml:space="preserve">        cfg.w_disagreement * f.disagreement -</w:t>
      </w:r>
    </w:p>
    <w:p>
      <w:pPr>
        <w:spacing w:after="0"/>
      </w:pPr>
      <w:r>
        <w:rPr>
          <w:rFonts w:ascii="Courier New" w:hAnsi="Courier New" w:eastAsia="Courier New"/>
          <w:sz w:val="17"/>
        </w:rPr>
        <w:t xml:space="preserve">        cfg.w_cost * f.cost_penalty;</w:t>
      </w:r>
    </w:p>
    <w:p>
      <w:pPr>
        <w:spacing w:after="0"/>
      </w:pPr>
      <w:r>
        <w:rPr>
          <w:rFonts w:ascii="Courier New" w:hAnsi="Courier New" w:eastAsia="Courier New"/>
          <w:sz w:val="17"/>
        </w:rPr>
      </w:r>
    </w:p>
    <w:p>
      <w:pPr>
        <w:spacing w:after="0"/>
      </w:pPr>
      <w:r>
        <w:rPr>
          <w:rFonts w:ascii="Courier New" w:hAnsi="Courier New" w:eastAsia="Courier New"/>
          <w:sz w:val="17"/>
        </w:rPr>
        <w:t xml:space="preserve">    score &gt;= cfg.retrieve_threshold</w:t>
      </w:r>
    </w:p>
    <w:p>
      <w:pPr>
        <w:spacing w:after="0"/>
      </w:pPr>
      <w:r>
        <w:rPr>
          <w:rFonts w:ascii="Courier New" w:hAnsi="Courier New" w:eastAsia="Courier New"/>
          <w:sz w:val="17"/>
        </w:rPr>
        <w:t>}</w:t>
      </w:r>
    </w:p>
    <w:p>
      <w:pPr>
        <w:pStyle w:val="Heading2"/>
      </w:pPr>
      <w:r>
        <w:t>D3. Layer 18 - Durable Feedback Commit Example</w:t>
      </w:r>
    </w:p>
    <w:p>
      <w:pPr>
        <w:spacing w:after="120"/>
      </w:pPr>
      <w:r>
        <w:t>Layer 18 should collect local statistics online but commit durable map and memory updates in coordinated batches. This preserves inference stability while still allowing learning signals to accumulate.</w:t>
      </w:r>
    </w:p>
    <w:p>
      <w:pPr>
        <w:spacing w:after="0"/>
      </w:pPr>
      <w:r>
        <w:rPr>
          <w:rFonts w:ascii="Courier New" w:hAnsi="Courier New" w:eastAsia="Courier New"/>
          <w:sz w:val="17"/>
        </w:rPr>
        <w:t>fn commit_feedback(batch: FeedbackBatch, stores: &amp;mut Stores) -&gt; Result&lt;(), CommitError&gt; {</w:t>
      </w:r>
    </w:p>
    <w:p>
      <w:pPr>
        <w:spacing w:after="0"/>
      </w:pPr>
      <w:r>
        <w:rPr>
          <w:rFonts w:ascii="Courier New" w:hAnsi="Courier New" w:eastAsia="Courier New"/>
          <w:sz w:val="17"/>
        </w:rPr>
        <w:t xml:space="preserve">    let snapshot = stores.begin_snapshot();</w:t>
      </w:r>
    </w:p>
    <w:p>
      <w:pPr>
        <w:spacing w:after="0"/>
      </w:pPr>
      <w:r>
        <w:rPr>
          <w:rFonts w:ascii="Courier New" w:hAnsi="Courier New" w:eastAsia="Courier New"/>
          <w:sz w:val="17"/>
        </w:rPr>
      </w:r>
    </w:p>
    <w:p>
      <w:pPr>
        <w:spacing w:after="0"/>
      </w:pPr>
      <w:r>
        <w:rPr>
          <w:rFonts w:ascii="Courier New" w:hAnsi="Courier New" w:eastAsia="Courier New"/>
          <w:sz w:val="17"/>
        </w:rPr>
        <w:t xml:space="preserve">    for update in batch.utility_updates {</w:t>
      </w:r>
    </w:p>
    <w:p>
      <w:pPr>
        <w:spacing w:after="0"/>
      </w:pPr>
      <w:r>
        <w:rPr>
          <w:rFonts w:ascii="Courier New" w:hAnsi="Courier New" w:eastAsia="Courier New"/>
          <w:sz w:val="17"/>
        </w:rPr>
        <w:t xml:space="preserve">        stores.memory.apply_utility_update(update)?;</w:t>
      </w:r>
    </w:p>
    <w:p>
      <w:pPr>
        <w:spacing w:after="0"/>
      </w:pPr>
      <w:r>
        <w:rPr>
          <w:rFonts w:ascii="Courier New" w:hAnsi="Courier New" w:eastAsia="Courier New"/>
          <w:sz w:val="17"/>
        </w:rPr>
        <w:t xml:space="preserve">    }</w:t>
      </w:r>
    </w:p>
    <w:p>
      <w:pPr>
        <w:spacing w:after="0"/>
      </w:pPr>
      <w:r>
        <w:rPr>
          <w:rFonts w:ascii="Courier New" w:hAnsi="Courier New" w:eastAsia="Courier New"/>
          <w:sz w:val="17"/>
        </w:rPr>
      </w:r>
    </w:p>
    <w:p>
      <w:pPr>
        <w:spacing w:after="0"/>
      </w:pPr>
      <w:r>
        <w:rPr>
          <w:rFonts w:ascii="Courier New" w:hAnsi="Courier New" w:eastAsia="Courier New"/>
          <w:sz w:val="17"/>
        </w:rPr>
        <w:t xml:space="preserve">    for correction in batch.map_corrections {</w:t>
      </w:r>
    </w:p>
    <w:p>
      <w:pPr>
        <w:spacing w:after="0"/>
      </w:pPr>
      <w:r>
        <w:rPr>
          <w:rFonts w:ascii="Courier New" w:hAnsi="Courier New" w:eastAsia="Courier New"/>
          <w:sz w:val="17"/>
        </w:rPr>
        <w:t xml:space="preserve">        stores.map.queue_force_directed_correction(correction);</w:t>
      </w:r>
    </w:p>
    <w:p>
      <w:pPr>
        <w:spacing w:after="0"/>
      </w:pPr>
      <w:r>
        <w:rPr>
          <w:rFonts w:ascii="Courier New" w:hAnsi="Courier New" w:eastAsia="Courier New"/>
          <w:sz w:val="17"/>
        </w:rPr>
        <w:t xml:space="preserve">    }</w:t>
      </w:r>
    </w:p>
    <w:p>
      <w:pPr>
        <w:spacing w:after="0"/>
      </w:pPr>
      <w:r>
        <w:rPr>
          <w:rFonts w:ascii="Courier New" w:hAnsi="Courier New" w:eastAsia="Courier New"/>
          <w:sz w:val="17"/>
        </w:rPr>
      </w:r>
    </w:p>
    <w:p>
      <w:pPr>
        <w:spacing w:after="0"/>
      </w:pPr>
      <w:r>
        <w:rPr>
          <w:rFonts w:ascii="Courier New" w:hAnsi="Courier New" w:eastAsia="Courier New"/>
          <w:sz w:val="17"/>
        </w:rPr>
        <w:t xml:space="preserve">    for promotion in batch.promotions {</w:t>
      </w:r>
    </w:p>
    <w:p>
      <w:pPr>
        <w:spacing w:after="0"/>
      </w:pPr>
      <w:r>
        <w:rPr>
          <w:rFonts w:ascii="Courier New" w:hAnsi="Courier New" w:eastAsia="Courier New"/>
          <w:sz w:val="17"/>
        </w:rPr>
        <w:t xml:space="preserve">        stores.memory.promote_if_valid(promotion)?;</w:t>
      </w:r>
    </w:p>
    <w:p>
      <w:pPr>
        <w:spacing w:after="0"/>
      </w:pPr>
      <w:r>
        <w:rPr>
          <w:rFonts w:ascii="Courier New" w:hAnsi="Courier New" w:eastAsia="Courier New"/>
          <w:sz w:val="17"/>
        </w:rPr>
        <w:t xml:space="preserve">    }</w:t>
      </w:r>
    </w:p>
    <w:p>
      <w:pPr>
        <w:spacing w:after="0"/>
      </w:pPr>
      <w:r>
        <w:rPr>
          <w:rFonts w:ascii="Courier New" w:hAnsi="Courier New" w:eastAsia="Courier New"/>
          <w:sz w:val="17"/>
        </w:rPr>
      </w:r>
    </w:p>
    <w:p>
      <w:pPr>
        <w:spacing w:after="0"/>
      </w:pPr>
      <w:r>
        <w:rPr>
          <w:rFonts w:ascii="Courier New" w:hAnsi="Courier New" w:eastAsia="Courier New"/>
          <w:sz w:val="17"/>
        </w:rPr>
        <w:t xml:space="preserve">    stores.finalize_snapshot(snapshot)?;</w:t>
      </w:r>
    </w:p>
    <w:p>
      <w:pPr>
        <w:spacing w:after="0"/>
      </w:pPr>
      <w:r>
        <w:rPr>
          <w:rFonts w:ascii="Courier New" w:hAnsi="Courier New" w:eastAsia="Courier New"/>
          <w:sz w:val="17"/>
        </w:rPr>
        <w:t xml:space="preserve">    Ok(())</w:t>
      </w:r>
    </w:p>
    <w:p>
      <w:pPr>
        <w:spacing w:after="0"/>
      </w:pPr>
      <w:r>
        <w:rPr>
          <w:rFonts w:ascii="Courier New" w:hAnsi="Courier New" w:eastAsia="Courier New"/>
          <w:sz w:val="17"/>
        </w:rPr>
        <w:t>}</w:t>
      </w:r>
    </w:p>
    <w:p>
      <w:r>
        <w:br w:type="page"/>
      </w:r>
    </w:p>
    <w:p>
      <w:pPr>
        <w:pStyle w:val="Heading2"/>
      </w:pPr>
      <w:r>
        <w:rPr/>
        <w:t>D4. Layer 14 - Adaptive Calculated Search Example</w:t>
      </w:r>
    </w:p>
    <w:p>
      <w:pPr/>
      <w:r>
        <w:rPr>
          <w:sz w:val="20"/>
        </w:rPr>
        <w:t>Note: in this baseline, confidence is distinct from utility. Confidence is derived from source corroboration count and recency decay, while utility is derived from observation frequency and prediction success during prior runs.</w:t>
      </w:r>
    </w:p>
    <w:p>
      <w:pPr/>
      <w:r>
        <w:rPr/>
        <w:t>This example makes the internal candidate scoring path as explicit as the retrieval gate. It assumes all feature channels are normalized to [0,1], includes confidence as its own scoring term, and sets evidence support to 0 when Layers 11-13 are inactive.</w:t>
      </w:r>
    </w:p>
    <w:p>
      <w:pPr/>
      <w:r>
        <w:rPr/>
        <w:t>struct CandidateFeatures {</w:t>
      </w:r>
    </w:p>
    <w:p>
      <w:pPr/>
      <w:r>
        <w:rPr/>
        <w:t xml:space="preserve">    spatial_fit: f32,</w:t>
      </w:r>
    </w:p>
    <w:p>
      <w:pPr/>
      <w:r>
        <w:rPr/>
        <w:t xml:space="preserve">    context_fit: f32,</w:t>
      </w:r>
    </w:p>
    <w:p>
      <w:pPr/>
      <w:r>
        <w:rPr/>
        <w:t xml:space="preserve">    sequence_fit: f32,</w:t>
      </w:r>
    </w:p>
    <w:p>
      <w:pPr/>
      <w:r>
        <w:rPr/>
        <w:t xml:space="preserve">    transition_fit: f32,</w:t>
      </w:r>
    </w:p>
    <w:p>
      <w:pPr/>
      <w:r>
        <w:rPr/>
        <w:t xml:space="preserve">    utility: f32,</w:t>
      </w:r>
    </w:p>
    <w:p>
      <w:pPr/>
      <w:r>
        <w:t xml:space="preserve">    confidence: f32,</w:t>
      </w:r>
    </w:p>
    <w:p>
      <w:pPr/>
      <w:r>
        <w:rPr/>
        <w:t xml:space="preserve">    evidence_support: f32,</w:t>
      </w:r>
    </w:p>
    <w:p>
      <w:pPr/>
      <w:r>
        <w:rPr/>
        <w:t>}</w:t>
      </w:r>
    </w:p>
    <w:p>
      <w:pPr/>
    </w:p>
    <w:p>
      <w:pPr/>
      <w:r>
        <w:rPr/>
        <w:t>fn score_candidate(f: &amp;CandidateFeatures, cfg: &amp;Config) -&gt; f32 {</w:t>
      </w:r>
    </w:p>
    <w:p>
      <w:pPr/>
      <w:r>
        <w:rPr/>
        <w:t xml:space="preserve">    cfg.w_spatial * f.spatial_fit +</w:t>
      </w:r>
    </w:p>
    <w:p>
      <w:pPr/>
      <w:r>
        <w:rPr/>
        <w:t xml:space="preserve">    cfg.w_context * f.context_fit +</w:t>
      </w:r>
    </w:p>
    <w:p>
      <w:pPr/>
      <w:r>
        <w:rPr/>
        <w:t xml:space="preserve">    cfg.w_sequence * f.sequence_fit +</w:t>
      </w:r>
    </w:p>
    <w:p>
      <w:pPr/>
      <w:r>
        <w:rPr/>
        <w:t xml:space="preserve">    cfg.w_transition * f.transition_fit +</w:t>
      </w:r>
    </w:p>
    <w:p>
      <w:pPr/>
      <w:r>
        <w:t xml:space="preserve">    cfg.w_utility * f.utility + cfg.w_confidence * f.confidence +</w:t>
      </w:r>
    </w:p>
    <w:p>
      <w:pPr/>
      <w:r>
        <w:rPr/>
        <w:t xml:space="preserve">    cfg.w_evidence * f.evidence_support</w:t>
      </w:r>
    </w:p>
    <w:p>
      <w:pPr/>
      <w:r>
        <w:rPr/>
        <w:t>}</w:t>
      </w:r>
    </w:p>
    <w:p>
      <w:pPr>
        <w:pStyle w:val="Heading2"/>
      </w:pPr>
      <w:r>
        <w:t>D5. Layer 13 - Evidence Merge Example</w:t>
      </w:r>
    </w:p>
    <w:p>
      <w:pPr/>
      <w:r>
        <w:t>This example mirrors the Layer 13 baseline policy so evidence-merge defaults are as concrete as the retrieval and candidate-scoring paths.</w:t>
      </w:r>
    </w:p>
    <w:p>
      <w:pPr/>
      <w:r>
        <w:t>struct EvidenceFeatures {</w:t>
      </w:r>
    </w:p>
    <w:p>
      <w:pPr/>
      <w:r>
        <w:t xml:space="preserve">    trust: f32,</w:t>
      </w:r>
    </w:p>
    <w:p>
      <w:pPr/>
      <w:r>
        <w:t xml:space="preserve">    recency: f32,</w:t>
      </w:r>
    </w:p>
    <w:p>
      <w:pPr/>
      <w:r>
        <w:t xml:space="preserve">    agreement: f32,</w:t>
      </w:r>
    </w:p>
    <w:p>
      <w:pPr/>
      <w:r>
        <w:t>}</w:t>
      </w:r>
    </w:p>
    <w:p>
      <w:pPr/>
    </w:p>
    <w:p>
      <w:pPr/>
      <w:r>
        <w:t>fn merge_score(f: &amp;EvidenceFeatures, cfg: &amp;Config) -&gt; f32 {</w:t>
      </w:r>
    </w:p>
    <w:p>
      <w:pPr/>
      <w:r>
        <w:t xml:space="preserve">    cfg.trust_weight * f.trust +</w:t>
      </w:r>
    </w:p>
    <w:p>
      <w:pPr/>
      <w:r>
        <w:t xml:space="preserve">    cfg.recency_weight * f.recency +</w:t>
      </w:r>
    </w:p>
    <w:p>
      <w:pPr/>
      <w:r>
        <w:t xml:space="preserve">    cfg.agreement_weight * f.agreement</w:t>
      </w:r>
    </w:p>
    <w:p>
      <w:pPr/>
      <w:r>
        <w:t>}</w:t>
      </w:r>
    </w:p>
    <w:p>
      <w:pPr/>
    </w:p>
    <w:p>
      <w:pPr/>
      <w:r>
        <w:t>fn choose_evidence&lt;'a&gt;(candidates: &amp;'a [EvidenceFeatures], cfg: &amp;Config) -&gt; Option&lt;&amp;'a EvidenceFeatures&gt; {</w:t>
      </w:r>
    </w:p>
    <w:p>
      <w:pPr/>
      <w:r>
        <w:t xml:space="preserve">    candidates.iter().max_by(|a, b| {</w:t>
      </w:r>
    </w:p>
    <w:p>
      <w:pPr/>
      <w:r>
        <w:t xml:space="preserve">        merge_score(a, cfg).partial_cmp(&amp;merge_score(b, cfg)).unwrap()</w:t>
      </w:r>
    </w:p>
    <w:p>
      <w:pPr/>
      <w:r>
        <w:t xml:space="preserve">    })</w:t>
      </w:r>
    </w:p>
    <w:p>
      <w:pPr/>
      <w:r>
        <w:t>}</w:t>
      </w:r>
    </w:p>
    <w:p>
      <w:pPr>
        <w:pStyle w:val="Heading1"/>
      </w:pPr>
      <w:r>
        <w:t>Appendix E - State Transition Reference</w:t>
      </w:r>
    </w:p>
    <w:p>
      <w:pPr>
        <w:spacing w:after="120"/>
      </w:pPr>
      <w:r>
        <w:t>This appendix makes the major runtime and memory transitions explicit so that developers can reason about promotion, decay, deferred map updates, and Silent Training Mode bypass behavior without reconstructing the logic from multiple earlier sections.</w:t>
      </w:r>
    </w:p>
    <w:p>
      <w:pPr>
        <w:pStyle w:val="Heading2"/>
      </w:pPr>
      <w:r>
        <w:t>E1. Core State Transition Table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EAF2F8"/>
          </w:tcPr>
          <w:p>
            <w:pPr>
              <w:spacing w:after="40"/>
            </w:pPr>
            <w:r>
              <w:rPr>
                <w:b/>
                <w:sz w:val="18"/>
              </w:rPr>
              <w:t>Current State</w:t>
            </w:r>
          </w:p>
        </w:tc>
        <w:tc>
          <w:tcPr>
            <w:tcW w:type="dxa" w:w="1994"/>
            <w:shd w:fill="EAF2F8"/>
          </w:tcPr>
          <w:p>
            <w:pPr>
              <w:spacing w:after="40"/>
            </w:pPr>
            <w:r>
              <w:rPr>
                <w:b/>
                <w:sz w:val="18"/>
              </w:rPr>
              <w:t>Trigger</w:t>
            </w:r>
          </w:p>
        </w:tc>
        <w:tc>
          <w:tcPr>
            <w:tcW w:type="dxa" w:w="1994"/>
            <w:shd w:fill="EAF2F8"/>
          </w:tcPr>
          <w:p>
            <w:pPr>
              <w:spacing w:after="40"/>
            </w:pPr>
            <w:r>
              <w:rPr>
                <w:b/>
                <w:sz w:val="18"/>
              </w:rPr>
              <w:t>Next State</w:t>
            </w:r>
          </w:p>
        </w:tc>
        <w:tc>
          <w:tcPr>
            <w:tcW w:type="dxa" w:w="1994"/>
            <w:shd w:fill="EAF2F8"/>
          </w:tcPr>
          <w:p>
            <w:pPr>
              <w:spacing w:after="40"/>
            </w:pPr>
            <w:r>
              <w:rPr>
                <w:b/>
                <w:sz w:val="18"/>
              </w:rPr>
              <w:t>Primary Layer(s)</w:t>
            </w:r>
          </w:p>
        </w:tc>
        <w:tc>
          <w:tcPr>
            <w:tcW w:type="dxa" w:w="1994"/>
            <w:shd w:fill="EAF2F8"/>
          </w:tcPr>
          <w:p>
            <w:pPr>
              <w:spacing w:after="40"/>
            </w:pPr>
            <w:r>
              <w:rPr>
                <w:b/>
                <w:sz w:val="18"/>
              </w:rPr>
              <w:t>Notes</w:t>
            </w:r>
          </w:p>
        </w:tc>
      </w:tr>
      <w:tr>
        <w:tc>
          <w:tcPr>
            <w:tcW w:type="dxa" w:w="1994"/>
          </w:tcPr>
          <w:p>
            <w:pPr>
              <w:spacing w:after="40"/>
            </w:pPr>
            <w:r>
              <w:rPr>
                <w:sz w:val="18"/>
              </w:rPr>
              <w:t>Raw input pending</w:t>
            </w:r>
          </w:p>
        </w:tc>
        <w:tc>
          <w:tcPr>
            <w:tcW w:type="dxa" w:w="1994"/>
          </w:tcPr>
          <w:p>
            <w:pPr>
              <w:spacing w:after="40"/>
            </w:pPr>
            <w:r>
              <w:rPr>
                <w:sz w:val="18"/>
              </w:rPr>
              <w:t>Input accepted by orchestrator</w:t>
            </w:r>
          </w:p>
        </w:tc>
        <w:tc>
          <w:tcPr>
            <w:tcW w:type="dxa" w:w="1994"/>
          </w:tcPr>
          <w:p>
            <w:pPr>
              <w:spacing w:after="40"/>
            </w:pPr>
            <w:r>
              <w:rPr>
                <w:sz w:val="18"/>
              </w:rPr>
              <w:t>Normalized external content or interactive input</w:t>
            </w:r>
          </w:p>
        </w:tc>
        <w:tc>
          <w:tcPr>
            <w:tcW w:type="dxa" w:w="1994"/>
          </w:tcPr>
          <w:p>
            <w:pPr>
              <w:spacing w:after="40"/>
            </w:pPr>
            <w:r>
              <w:rPr>
                <w:sz w:val="18"/>
              </w:rPr>
              <w:t>Layer 1 / Layer 12</w:t>
            </w:r>
          </w:p>
        </w:tc>
        <w:tc>
          <w:tcPr>
            <w:tcW w:type="dxa" w:w="1994"/>
          </w:tcPr>
          <w:p>
            <w:pPr>
              <w:spacing w:after="40"/>
            </w:pPr>
            <w:r>
              <w:rPr>
                <w:sz w:val="18"/>
              </w:rPr>
              <w:t>Silent mode marks content as forced-ingest external content</w:t>
            </w:r>
          </w:p>
        </w:tc>
      </w:tr>
      <w:tr>
        <w:tc>
          <w:tcPr>
            <w:tcW w:type="dxa" w:w="1994"/>
          </w:tcPr>
          <w:p>
            <w:pPr>
              <w:spacing w:after="40"/>
            </w:pPr>
            <w:r>
              <w:rPr>
                <w:sz w:val="18"/>
              </w:rPr>
              <w:t>New unit in episodic memory</w:t>
            </w:r>
          </w:p>
        </w:tc>
        <w:tc>
          <w:tcPr>
            <w:tcW w:type="dxa" w:w="1994"/>
          </w:tcPr>
          <w:p>
            <w:pPr>
              <w:spacing w:after="40"/>
            </w:pPr>
            <w:r>
              <w:rPr>
                <w:sz w:val="18"/>
              </w:rPr>
              <w:t>Repeated exposure, corroboration, sufficient utility and salience</w:t>
            </w:r>
          </w:p>
        </w:tc>
        <w:tc>
          <w:tcPr>
            <w:tcW w:type="dxa" w:w="1994"/>
          </w:tcPr>
          <w:p>
            <w:pPr>
              <w:spacing w:after="40"/>
            </w:pPr>
            <w:r>
              <w:rPr>
                <w:sz w:val="18"/>
              </w:rPr>
              <w:t>Promoted unit in core memory</w:t>
            </w:r>
          </w:p>
        </w:tc>
        <w:tc>
          <w:tcPr>
            <w:tcW w:type="dxa" w:w="1994"/>
          </w:tcPr>
          <w:p>
            <w:pPr>
              <w:spacing w:after="40"/>
            </w:pPr>
            <w:r>
              <w:rPr>
                <w:sz w:val="18"/>
              </w:rPr>
              <w:t>Layers 4, 18, 21</w:t>
            </w:r>
          </w:p>
        </w:tc>
        <w:tc>
          <w:tcPr>
            <w:tcW w:type="dxa" w:w="1994"/>
          </w:tcPr>
          <w:p>
            <w:pPr>
              <w:spacing w:after="40"/>
            </w:pPr>
            <w:r>
              <w:rPr>
                <w:sz w:val="18"/>
              </w:rPr>
              <w:t>Promotion should require configurable corroboration thresholds</w:t>
            </w:r>
          </w:p>
        </w:tc>
      </w:tr>
      <w:tr>
        <w:tc>
          <w:tcPr>
            <w:tcW w:type="dxa" w:w="1994"/>
          </w:tcPr>
          <w:p>
            <w:pPr>
              <w:spacing w:after="40"/>
            </w:pPr>
            <w:r>
              <w:rPr>
                <w:sz w:val="18"/>
              </w:rPr>
              <w:t>Candidate region scheduled for update</w:t>
            </w:r>
          </w:p>
        </w:tc>
        <w:tc>
          <w:tcPr>
            <w:tcW w:type="dxa" w:w="1994"/>
          </w:tcPr>
          <w:p>
            <w:pPr>
              <w:spacing w:after="40"/>
            </w:pPr>
            <w:r>
              <w:rPr>
                <w:sz w:val="18"/>
              </w:rPr>
              <w:t>Prediction-error statistics or accumulated spatial corrections</w:t>
            </w:r>
          </w:p>
        </w:tc>
        <w:tc>
          <w:tcPr>
            <w:tcW w:type="dxa" w:w="1994"/>
          </w:tcPr>
          <w:p>
            <w:pPr>
              <w:spacing w:after="40"/>
            </w:pPr>
            <w:r>
              <w:rPr>
                <w:sz w:val="18"/>
              </w:rPr>
              <w:t>Deferred force-directed map pass</w:t>
            </w:r>
          </w:p>
        </w:tc>
        <w:tc>
          <w:tcPr>
            <w:tcW w:type="dxa" w:w="1994"/>
          </w:tcPr>
          <w:p>
            <w:pPr>
              <w:spacing w:after="40"/>
            </w:pPr>
            <w:r>
              <w:rPr>
                <w:sz w:val="18"/>
              </w:rPr>
              <w:t>Layers 5 and 18</w:t>
            </w:r>
          </w:p>
        </w:tc>
        <w:tc>
          <w:tcPr>
            <w:tcW w:type="dxa" w:w="1994"/>
          </w:tcPr>
          <w:p>
            <w:pPr>
              <w:spacing w:after="40"/>
            </w:pPr>
            <w:r>
              <w:rPr>
                <w:sz w:val="18"/>
              </w:rPr>
              <w:t>Spatial corrections are queued, not applied inline to inference</w:t>
            </w:r>
          </w:p>
        </w:tc>
      </w:tr>
      <w:tr>
        <w:tc>
          <w:tcPr>
            <w:tcW w:type="dxa" w:w="1994"/>
          </w:tcPr>
          <w:p>
            <w:pPr>
              <w:spacing w:after="40"/>
            </w:pPr>
            <w:r>
              <w:rPr>
                <w:sz w:val="18"/>
              </w:rPr>
              <w:t>Deferred map pass</w:t>
            </w:r>
          </w:p>
        </w:tc>
        <w:tc>
          <w:tcPr>
            <w:tcW w:type="dxa" w:w="1994"/>
          </w:tcPr>
          <w:p>
            <w:pPr>
              <w:spacing w:after="40"/>
            </w:pPr>
            <w:r>
              <w:rPr>
                <w:sz w:val="18"/>
              </w:rPr>
              <w:t>Idle window or maintenance cycle</w:t>
            </w:r>
          </w:p>
        </w:tc>
        <w:tc>
          <w:tcPr>
            <w:tcW w:type="dxa" w:w="1994"/>
          </w:tcPr>
          <w:p>
            <w:pPr>
              <w:spacing w:after="40"/>
            </w:pPr>
            <w:r>
              <w:rPr>
                <w:sz w:val="18"/>
              </w:rPr>
              <w:t>Stable map snapshot committed</w:t>
            </w:r>
          </w:p>
        </w:tc>
        <w:tc>
          <w:tcPr>
            <w:tcW w:type="dxa" w:w="1994"/>
          </w:tcPr>
          <w:p>
            <w:pPr>
              <w:spacing w:after="40"/>
            </w:pPr>
            <w:r>
              <w:rPr>
                <w:sz w:val="18"/>
              </w:rPr>
              <w:t>Layers 5 and 21</w:t>
            </w:r>
          </w:p>
        </w:tc>
        <w:tc>
          <w:tcPr>
            <w:tcW w:type="dxa" w:w="1994"/>
          </w:tcPr>
          <w:p>
            <w:pPr>
              <w:spacing w:after="40"/>
            </w:pPr>
            <w:r>
              <w:rPr>
                <w:sz w:val="18"/>
              </w:rPr>
              <w:t>If divergence occurs, rollback to last stable snapshot</w:t>
            </w:r>
          </w:p>
        </w:tc>
      </w:tr>
      <w:tr>
        <w:tc>
          <w:tcPr>
            <w:tcW w:type="dxa" w:w="1994"/>
          </w:tcPr>
          <w:p>
            <w:pPr>
              <w:spacing w:after="40"/>
            </w:pPr>
            <w:r>
              <w:rPr>
                <w:sz w:val="18"/>
              </w:rPr>
              <w:t>Interactive inference path</w:t>
            </w:r>
          </w:p>
        </w:tc>
        <w:tc>
          <w:tcPr>
            <w:tcW w:type="dxa" w:w="1994"/>
          </w:tcPr>
          <w:p>
            <w:pPr>
              <w:spacing w:after="40"/>
            </w:pPr>
            <w:r>
              <w:rPr>
                <w:sz w:val="18"/>
              </w:rPr>
              <w:t>Need for answer generation</w:t>
            </w:r>
          </w:p>
        </w:tc>
        <w:tc>
          <w:tcPr>
            <w:tcW w:type="dxa" w:w="1994"/>
          </w:tcPr>
          <w:p>
            <w:pPr>
              <w:spacing w:after="40"/>
            </w:pPr>
            <w:r>
              <w:rPr>
                <w:sz w:val="18"/>
              </w:rPr>
              <w:t>Internal candidate scoring and resolution</w:t>
            </w:r>
          </w:p>
        </w:tc>
        <w:tc>
          <w:tcPr>
            <w:tcW w:type="dxa" w:w="1994"/>
          </w:tcPr>
          <w:p>
            <w:pPr>
              <w:spacing w:after="40"/>
            </w:pPr>
            <w:r>
              <w:rPr>
                <w:sz w:val="18"/>
              </w:rPr>
              <w:t>Layers 14-17</w:t>
            </w:r>
          </w:p>
        </w:tc>
        <w:tc>
          <w:tcPr>
            <w:tcW w:type="dxa" w:w="1994"/>
          </w:tcPr>
          <w:p>
            <w:pPr>
              <w:spacing w:after="40"/>
            </w:pPr>
            <w:r>
              <w:rPr>
                <w:sz w:val="18"/>
              </w:rPr>
              <w:t>Evidence support defaults to zero when retrieval is inactive</w:t>
            </w:r>
          </w:p>
        </w:tc>
      </w:tr>
      <w:tr>
        <w:tc>
          <w:tcPr>
            <w:tcW w:type="dxa" w:w="1994"/>
          </w:tcPr>
          <w:p>
            <w:pPr>
              <w:spacing w:after="40"/>
            </w:pPr>
            <w:r>
              <w:rPr>
                <w:sz w:val="18"/>
              </w:rPr>
              <w:t>Silent training path</w:t>
            </w:r>
          </w:p>
        </w:tc>
        <w:tc>
          <w:tcPr>
            <w:tcW w:type="dxa" w:w="1994"/>
          </w:tcPr>
          <w:p>
            <w:pPr>
              <w:spacing w:after="40"/>
            </w:pPr>
            <w:r>
              <w:rPr>
                <w:sz w:val="18"/>
              </w:rPr>
              <w:t>training_mode=silent</w:t>
            </w:r>
          </w:p>
        </w:tc>
        <w:tc>
          <w:tcPr>
            <w:tcW w:type="dxa" w:w="1994"/>
          </w:tcPr>
          <w:p>
            <w:pPr>
              <w:spacing w:after="40"/>
            </w:pPr>
            <w:r>
              <w:rPr>
                <w:sz w:val="18"/>
              </w:rPr>
              <w:t>Bypass scoring, routing, resolution, and output</w:t>
            </w:r>
          </w:p>
        </w:tc>
        <w:tc>
          <w:tcPr>
            <w:tcW w:type="dxa" w:w="1994"/>
          </w:tcPr>
          <w:p>
            <w:pPr>
              <w:spacing w:after="40"/>
            </w:pPr>
            <w:r>
              <w:rPr>
                <w:sz w:val="18"/>
              </w:rPr>
              <w:t>Bypass Layers 9 and 14-17</w:t>
            </w:r>
          </w:p>
        </w:tc>
        <w:tc>
          <w:tcPr>
            <w:tcW w:type="dxa" w:w="1994"/>
          </w:tcPr>
          <w:p>
            <w:pPr>
              <w:spacing w:after="40"/>
            </w:pPr>
            <w:r>
              <w:rPr>
                <w:sz w:val="18"/>
              </w:rPr>
              <w:t>Forced-ingest mode logs telemetry only; no response generation</w:t>
            </w:r>
          </w:p>
        </w:tc>
      </w:tr>
      <w:tr>
        <w:tc>
          <w:tcPr>
            <w:tcW w:type="dxa" w:w="1994"/>
          </w:tcPr>
          <w:p>
            <w:pPr>
              <w:spacing w:after="40"/>
            </w:pPr>
            <w:r>
              <w:rPr>
                <w:sz w:val="18"/>
              </w:rPr>
              <w:t>Low-utility episodic unit</w:t>
            </w:r>
          </w:p>
        </w:tc>
        <w:tc>
          <w:tcPr>
            <w:tcW w:type="dxa" w:w="1994"/>
          </w:tcPr>
          <w:p>
            <w:pPr>
              <w:spacing w:after="40"/>
            </w:pPr>
            <w:r>
              <w:rPr>
                <w:sz w:val="18"/>
              </w:rPr>
              <w:t>Decay threshold reached without protection</w:t>
            </w:r>
          </w:p>
        </w:tc>
        <w:tc>
          <w:tcPr>
            <w:tcW w:type="dxa" w:w="1994"/>
          </w:tcPr>
          <w:p>
            <w:pPr>
              <w:spacing w:after="40"/>
            </w:pPr>
            <w:r>
              <w:rPr>
                <w:sz w:val="18"/>
              </w:rPr>
              <w:t>Archived or deleted unit</w:t>
            </w:r>
          </w:p>
        </w:tc>
        <w:tc>
          <w:tcPr>
            <w:tcW w:type="dxa" w:w="1994"/>
          </w:tcPr>
          <w:p>
            <w:pPr>
              <w:spacing w:after="40"/>
            </w:pPr>
            <w:r>
              <w:rPr>
                <w:sz w:val="18"/>
              </w:rPr>
              <w:t>Layer 21</w:t>
            </w:r>
          </w:p>
        </w:tc>
        <w:tc>
          <w:tcPr>
            <w:tcW w:type="dxa" w:w="1994"/>
          </w:tcPr>
          <w:p>
            <w:pPr>
              <w:spacing w:after="40"/>
            </w:pPr>
            <w:r>
              <w:rPr>
                <w:sz w:val="18"/>
              </w:rPr>
              <w:t>Anchor units remain protected</w:t>
            </w:r>
          </w:p>
        </w:tc>
      </w:tr>
    </w:tbl>
    <w:p>
      <w:pPr>
        <w:pStyle w:val="Heading2"/>
      </w:pPr>
      <w:r>
        <w:t>E2. Silent Training Mode Transition Sketch</w:t>
      </w:r>
    </w:p>
    <w:p>
      <w:pPr>
        <w:spacing w:after="120"/>
      </w:pPr>
      <w:r>
        <w:t>The following text diagram is a state-machine style reference for the train-only path.</w:t>
      </w:r>
    </w:p>
    <w:p>
      <w:pPr>
        <w:spacing w:after="0"/>
      </w:pPr>
      <w:r>
        <w:rPr>
          <w:rFonts w:ascii="Courier New" w:hAnsi="Courier New" w:eastAsia="Courier New"/>
          <w:sz w:val="17"/>
        </w:rPr>
        <w:t>[Receive URLs / documents]</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v</w:t>
      </w:r>
    </w:p>
    <w:p>
      <w:pPr>
        <w:spacing w:after="0"/>
      </w:pPr>
      <w:r>
        <w:rPr>
          <w:rFonts w:ascii="Courier New" w:hAnsi="Courier New" w:eastAsia="Courier New"/>
          <w:sz w:val="17"/>
        </w:rPr>
        <w:t>[Layer 1: Raw Input, training_mode=silent]</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v</w:t>
      </w:r>
    </w:p>
    <w:p>
      <w:pPr>
        <w:spacing w:after="0"/>
      </w:pPr>
      <w:r>
        <w:rPr>
          <w:rFonts w:ascii="Courier New" w:hAnsi="Courier New" w:eastAsia="Courier New"/>
          <w:sz w:val="17"/>
        </w:rPr>
        <w:t>[Bypass Layer 9 retrieval gate]</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v</w:t>
      </w:r>
    </w:p>
    <w:p>
      <w:pPr>
        <w:spacing w:after="0"/>
      </w:pPr>
      <w:r>
        <w:rPr>
          <w:rFonts w:ascii="Courier New" w:hAnsi="Courier New" w:eastAsia="Courier New"/>
          <w:sz w:val="17"/>
        </w:rPr>
        <w:t>[Layer 12: Normalized External Content Ingestion]</w:t>
      </w:r>
    </w:p>
    <w:p>
      <w:r>
        <w:rPr/>
        <w:t>[If input type = URL, invoke Layer 11 fetch connector first, then continue into Layer 12]</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v</w:t>
      </w:r>
    </w:p>
    <w:p>
      <w:pPr>
        <w:spacing w:after="0"/>
      </w:pPr>
      <w:r>
        <w:rPr>
          <w:rFonts w:ascii="Courier New" w:hAnsi="Courier New" w:eastAsia="Courier New"/>
          <w:sz w:val="17"/>
        </w:rPr>
        <w:t>[Layers 2-4: Unit discovery, hierarchy, episodic write]</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v</w:t>
      </w:r>
    </w:p>
    <w:p>
      <w:pPr>
        <w:spacing w:after="0"/>
      </w:pPr>
      <w:r>
        <w:rPr>
          <w:rFonts w:ascii="Courier New" w:hAnsi="Courier New" w:eastAsia="Courier New"/>
          <w:sz w:val="17"/>
        </w:rPr>
        <w:t>[Layers 5-6: Deferred spatial corrections and region bookkeeping]</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v</w:t>
      </w:r>
    </w:p>
    <w:p>
      <w:pPr>
        <w:spacing w:after="0"/>
      </w:pPr>
      <w:r>
        <w:rPr>
          <w:rFonts w:ascii="Courier New" w:hAnsi="Courier New" w:eastAsia="Courier New"/>
          <w:sz w:val="17"/>
        </w:rPr>
        <w:t>[Layer 18: Batch feedback commit]</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v</w:t>
      </w:r>
    </w:p>
    <w:p>
      <w:pPr>
        <w:spacing w:after="0"/>
      </w:pPr>
      <w:r>
        <w:rPr>
          <w:rFonts w:ascii="Courier New" w:hAnsi="Courier New" w:eastAsia="Courier New"/>
          <w:sz w:val="17"/>
        </w:rPr>
        <w:t>[Layer 21: Prune / compact / archive under job memory budget]</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v</w:t>
      </w:r>
    </w:p>
    <w:p>
      <w:pPr>
        <w:spacing w:after="0"/>
      </w:pPr>
      <w:r>
        <w:rPr>
          <w:rFonts w:ascii="Courier New" w:hAnsi="Courier New" w:eastAsia="Courier New"/>
          <w:sz w:val="17"/>
        </w:rPr>
        <w:t>[Layer 20: Emit progress telemetry]</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v</w:t>
      </w:r>
    </w:p>
    <w:p>
      <w:pPr>
        <w:spacing w:after="0"/>
      </w:pPr>
      <w:r>
        <w:rPr>
          <w:rFonts w:ascii="Courier New" w:hAnsi="Courier New" w:eastAsia="Courier New"/>
          <w:sz w:val="17"/>
        </w:rPr>
        <w:t>[End job - no Layers 14-17 execution]</w:t>
      </w:r>
    </w:p>
    <w:p>
      <w:r>
        <w:br w:type="page"/>
      </w:r>
    </w:p>
    <w:p>
      <w:pPr>
        <w:pStyle w:val="Heading1"/>
      </w:pPr>
      <w:r>
        <w:t>Appendix F - Deployment Sketch</w:t>
      </w:r>
    </w:p>
    <w:p>
      <w:pPr>
        <w:spacing w:after="120"/>
      </w:pPr>
      <w:r>
        <w:t>This appendix gives a minimal deployment reference for staging or early production setups. It is intentionally conservative and can be expanded into a fuller orchestration design later.</w:t>
      </w:r>
    </w:p>
    <w:p>
      <w:pPr>
        <w:pStyle w:val="Heading2"/>
      </w:pPr>
      <w:r>
        <w:t>F1. Minimal Container Layout</w:t>
      </w:r>
    </w:p>
    <w:p>
      <w:pPr/>
      <w:r>
        <w:rPr>
          <w:sz w:val="20"/>
        </w:rPr>
        <w:t>MVP communication note: the services communicate through a shared memory directory and an append-only event log; direct RPC between services is not required for the MVP deployment model.</w:t>
      </w:r>
    </w:p>
    <w:p>
      <w:pPr>
        <w:spacing w:after="0"/>
      </w:pPr>
      <w:r>
        <w:rPr>
          <w:rFonts w:ascii="Courier New" w:hAnsi="Courier New" w:eastAsia="Courier New"/>
          <w:sz w:val="17"/>
        </w:rPr>
        <w:t>services:</w:t>
      </w:r>
    </w:p>
    <w:p>
      <w:pPr>
        <w:spacing w:after="0"/>
      </w:pPr>
      <w:r>
        <w:rPr>
          <w:rFonts w:ascii="Courier New" w:hAnsi="Courier New" w:eastAsia="Courier New"/>
          <w:sz w:val="17"/>
        </w:rPr>
        <w:t xml:space="preserve">  inference:</w:t>
      </w:r>
    </w:p>
    <w:p>
      <w:pPr>
        <w:spacing w:after="0"/>
      </w:pPr>
      <w:r>
        <w:rPr>
          <w:rFonts w:ascii="Courier New" w:hAnsi="Courier New" w:eastAsia="Courier New"/>
          <w:sz w:val="17"/>
        </w:rPr>
        <w:t xml:space="preserve">    image: sps-core:latest</w:t>
      </w:r>
    </w:p>
    <w:p>
      <w:pPr>
        <w:spacing w:after="0"/>
      </w:pPr>
      <w:r>
        <w:rPr>
          <w:rFonts w:ascii="Courier New" w:hAnsi="Courier New" w:eastAsia="Courier New"/>
          <w:sz w:val="17"/>
        </w:rPr>
        <w:t xml:space="preserve">    command: ["serve", "--config", "/etc/sps/config.yaml"]</w:t>
      </w:r>
    </w:p>
    <w:p>
      <w:pPr>
        <w:spacing w:after="0"/>
      </w:pPr>
      <w:r>
        <w:rPr>
          <w:rFonts w:ascii="Courier New" w:hAnsi="Courier New" w:eastAsia="Courier New"/>
          <w:sz w:val="17"/>
        </w:rPr>
        <w:t xml:space="preserve">    ports:</w:t>
      </w:r>
    </w:p>
    <w:p>
      <w:pPr>
        <w:spacing w:after="0"/>
      </w:pPr>
      <w:r>
        <w:rPr>
          <w:rFonts w:ascii="Courier New" w:hAnsi="Courier New" w:eastAsia="Courier New"/>
          <w:sz w:val="17"/>
        </w:rPr>
        <w:t xml:space="preserve">      - "8080:8080"</w:t>
      </w:r>
    </w:p>
    <w:p>
      <w:pPr>
        <w:spacing w:after="0"/>
      </w:pPr>
      <w:r>
        <w:rPr>
          <w:rFonts w:ascii="Courier New" w:hAnsi="Courier New" w:eastAsia="Courier New"/>
          <w:sz w:val="17"/>
        </w:rPr>
        <w:t xml:space="preserve">    volumes:</w:t>
      </w:r>
    </w:p>
    <w:p>
      <w:pPr>
        <w:spacing w:after="0"/>
      </w:pPr>
      <w:r>
        <w:rPr>
          <w:rFonts w:ascii="Courier New" w:hAnsi="Courier New" w:eastAsia="Courier New"/>
          <w:sz w:val="17"/>
        </w:rPr>
        <w:t xml:space="preserve">      - ./memory:/data/memory</w:t>
      </w:r>
    </w:p>
    <w:p>
      <w:pPr>
        <w:spacing w:after="0"/>
      </w:pPr>
      <w:r>
        <w:rPr>
          <w:rFonts w:ascii="Courier New" w:hAnsi="Courier New" w:eastAsia="Courier New"/>
          <w:sz w:val="17"/>
        </w:rPr>
        <w:t xml:space="preserve">      - ./config:/etc/sps</w:t>
      </w:r>
    </w:p>
    <w:p>
      <w:pPr>
        <w:spacing w:after="0"/>
      </w:pPr>
      <w:r>
        <w:rPr>
          <w:rFonts w:ascii="Courier New" w:hAnsi="Courier New" w:eastAsia="Courier New"/>
          <w:sz w:val="17"/>
        </w:rPr>
        <w:t xml:space="preserve">    environment:</w:t>
      </w:r>
    </w:p>
    <w:p>
      <w:pPr>
        <w:spacing w:after="0"/>
      </w:pPr>
      <w:r>
        <w:rPr>
          <w:rFonts w:ascii="Courier New" w:hAnsi="Courier New" w:eastAsia="Courier New"/>
          <w:sz w:val="17"/>
        </w:rPr>
        <w:t xml:space="preserve">      SPS_ROLE: inference</w:t>
      </w:r>
    </w:p>
    <w:p>
      <w:pPr>
        <w:spacing w:after="0"/>
      </w:pPr>
      <w:r>
        <w:rPr>
          <w:rFonts w:ascii="Courier New" w:hAnsi="Courier New" w:eastAsia="Courier New"/>
          <w:sz w:val="17"/>
        </w:rPr>
      </w:r>
    </w:p>
    <w:p>
      <w:pPr>
        <w:spacing w:after="0"/>
      </w:pPr>
      <w:r>
        <w:rPr>
          <w:rFonts w:ascii="Courier New" w:hAnsi="Courier New" w:eastAsia="Courier New"/>
          <w:sz w:val="17"/>
        </w:rPr>
        <w:t xml:space="preserve">  training-worker:</w:t>
      </w:r>
    </w:p>
    <w:p>
      <w:pPr>
        <w:spacing w:after="0"/>
      </w:pPr>
      <w:r>
        <w:rPr>
          <w:rFonts w:ascii="Courier New" w:hAnsi="Courier New" w:eastAsia="Courier New"/>
          <w:sz w:val="17"/>
        </w:rPr>
        <w:t xml:space="preserve">    image: sps-core:latest</w:t>
      </w:r>
    </w:p>
    <w:p>
      <w:pPr>
        <w:spacing w:after="0"/>
      </w:pPr>
      <w:r>
        <w:rPr>
          <w:rFonts w:ascii="Courier New" w:hAnsi="Courier New" w:eastAsia="Courier New"/>
          <w:sz w:val="17"/>
        </w:rPr>
        <w:t xml:space="preserve">    command: ["worker", "--mode", "silent-training", "--config", "/etc/sps/config.yaml"]</w:t>
      </w:r>
    </w:p>
    <w:p>
      <w:pPr>
        <w:spacing w:after="0"/>
      </w:pPr>
      <w:r>
        <w:rPr>
          <w:rFonts w:ascii="Courier New" w:hAnsi="Courier New" w:eastAsia="Courier New"/>
          <w:sz w:val="17"/>
        </w:rPr>
        <w:t xml:space="preserve">    volumes:</w:t>
      </w:r>
    </w:p>
    <w:p>
      <w:pPr>
        <w:spacing w:after="0"/>
      </w:pPr>
      <w:r>
        <w:rPr>
          <w:rFonts w:ascii="Courier New" w:hAnsi="Courier New" w:eastAsia="Courier New"/>
          <w:sz w:val="17"/>
        </w:rPr>
        <w:t xml:space="preserve">      - ./memory:/data/memory</w:t>
      </w:r>
    </w:p>
    <w:p>
      <w:pPr>
        <w:spacing w:after="0"/>
      </w:pPr>
      <w:r>
        <w:rPr>
          <w:rFonts w:ascii="Courier New" w:hAnsi="Courier New" w:eastAsia="Courier New"/>
          <w:sz w:val="17"/>
        </w:rPr>
        <w:t xml:space="preserve">      - ./documents:/data/documents</w:t>
      </w:r>
    </w:p>
    <w:p>
      <w:pPr>
        <w:spacing w:after="0"/>
      </w:pPr>
      <w:r>
        <w:rPr>
          <w:rFonts w:ascii="Courier New" w:hAnsi="Courier New" w:eastAsia="Courier New"/>
          <w:sz w:val="17"/>
        </w:rPr>
        <w:t xml:space="preserve">      - ./config:/etc/sps</w:t>
      </w:r>
    </w:p>
    <w:p>
      <w:pPr>
        <w:spacing w:after="0"/>
      </w:pPr>
      <w:r>
        <w:rPr>
          <w:rFonts w:ascii="Courier New" w:hAnsi="Courier New" w:eastAsia="Courier New"/>
          <w:sz w:val="17"/>
        </w:rPr>
        <w:t xml:space="preserve">    environment:</w:t>
      </w:r>
    </w:p>
    <w:p>
      <w:pPr>
        <w:spacing w:after="0"/>
      </w:pPr>
      <w:r>
        <w:rPr>
          <w:rFonts w:ascii="Courier New" w:hAnsi="Courier New" w:eastAsia="Courier New"/>
          <w:sz w:val="17"/>
        </w:rPr>
        <w:t xml:space="preserve">      SPS_ROLE: training</w:t>
      </w:r>
    </w:p>
    <w:p>
      <w:pPr>
        <w:spacing w:after="0"/>
      </w:pPr>
      <w:r>
        <w:rPr>
          <w:rFonts w:ascii="Courier New" w:hAnsi="Courier New" w:eastAsia="Courier New"/>
          <w:sz w:val="17"/>
        </w:rPr>
      </w:r>
    </w:p>
    <w:p>
      <w:pPr>
        <w:spacing w:after="0"/>
      </w:pPr>
      <w:r>
        <w:rPr>
          <w:rFonts w:ascii="Courier New" w:hAnsi="Courier New" w:eastAsia="Courier New"/>
          <w:sz w:val="17"/>
        </w:rPr>
        <w:t xml:space="preserve">  maintenance-worker:</w:t>
      </w:r>
    </w:p>
    <w:p>
      <w:pPr>
        <w:spacing w:after="0"/>
      </w:pPr>
      <w:r>
        <w:rPr>
          <w:rFonts w:ascii="Courier New" w:hAnsi="Courier New" w:eastAsia="Courier New"/>
          <w:sz w:val="17"/>
        </w:rPr>
        <w:t xml:space="preserve">    image: sps-core:latest</w:t>
      </w:r>
    </w:p>
    <w:p>
      <w:pPr>
        <w:spacing w:after="0"/>
      </w:pPr>
      <w:r>
        <w:rPr>
          <w:rFonts w:ascii="Courier New" w:hAnsi="Courier New" w:eastAsia="Courier New"/>
          <w:sz w:val="17"/>
        </w:rPr>
        <w:t xml:space="preserve">    command: ["worker", "--mode", "maintenance", "--config", "/etc/sps/config.yaml"]</w:t>
      </w:r>
    </w:p>
    <w:p>
      <w:pPr>
        <w:spacing w:after="0"/>
      </w:pPr>
      <w:r>
        <w:rPr>
          <w:rFonts w:ascii="Courier New" w:hAnsi="Courier New" w:eastAsia="Courier New"/>
          <w:sz w:val="17"/>
        </w:rPr>
        <w:t xml:space="preserve">    volumes:</w:t>
      </w:r>
    </w:p>
    <w:p>
      <w:pPr>
        <w:spacing w:after="0"/>
      </w:pPr>
      <w:r>
        <w:rPr>
          <w:rFonts w:ascii="Courier New" w:hAnsi="Courier New" w:eastAsia="Courier New"/>
          <w:sz w:val="17"/>
        </w:rPr>
        <w:t xml:space="preserve">      - ./memory:/data/memory</w:t>
      </w:r>
    </w:p>
    <w:p>
      <w:pPr>
        <w:spacing w:after="0"/>
      </w:pPr>
      <w:r>
        <w:rPr>
          <w:rFonts w:ascii="Courier New" w:hAnsi="Courier New" w:eastAsia="Courier New"/>
          <w:sz w:val="17"/>
        </w:rPr>
        <w:t xml:space="preserve">      - ./config:/etc/sps</w:t>
      </w:r>
    </w:p>
    <w:p>
      <w:pPr>
        <w:spacing w:after="0"/>
      </w:pPr>
      <w:r>
        <w:rPr>
          <w:rFonts w:ascii="Courier New" w:hAnsi="Courier New" w:eastAsia="Courier New"/>
          <w:sz w:val="17"/>
        </w:rPr>
        <w:t xml:space="preserve">    environment:</w:t>
      </w:r>
    </w:p>
    <w:p>
      <w:pPr>
        <w:spacing w:after="0"/>
      </w:pPr>
      <w:r>
        <w:rPr>
          <w:rFonts w:ascii="Courier New" w:hAnsi="Courier New" w:eastAsia="Courier New"/>
          <w:sz w:val="17"/>
        </w:rPr>
        <w:t xml:space="preserve">      SPS_ROLE: maintenance</w:t>
      </w:r>
    </w:p>
    <w:p>
      <w:pPr>
        <w:pStyle w:val="Heading2"/>
      </w:pPr>
      <w:r>
        <w:t>F2. Deployment Notes</w:t>
      </w:r>
    </w:p>
    <w:tbl>
      <w:tblPr>
        <w:tblStyle w:val="TableGrid"/>
        <w:tblW w:type="auto" w:w="0"/>
        <w:tblLook w:firstColumn="1" w:firstRow="1" w:lastColumn="0" w:lastRow="0" w:noHBand="0" w:noVBand="1" w:val="04A0"/>
      </w:tblPr>
      <w:tblGrid>
        <w:gridCol w:w="3324"/>
        <w:gridCol w:w="3324"/>
        <w:gridCol w:w="3324"/>
      </w:tblGrid>
      <w:tr>
        <w:tc>
          <w:tcPr>
            <w:tcW w:type="dxa" w:w="3324"/>
            <w:shd w:fill="DDEBF7"/>
          </w:tcPr>
          <w:p>
            <w:pPr>
              <w:spacing w:after="40"/>
            </w:pPr>
            <w:r>
              <w:rPr>
                <w:b/>
                <w:sz w:val="18"/>
              </w:rPr>
              <w:t>Concern</w:t>
            </w:r>
          </w:p>
        </w:tc>
        <w:tc>
          <w:tcPr>
            <w:tcW w:type="dxa" w:w="3324"/>
            <w:shd w:fill="DDEBF7"/>
          </w:tcPr>
          <w:p>
            <w:pPr>
              <w:spacing w:after="40"/>
            </w:pPr>
            <w:r>
              <w:rPr>
                <w:b/>
                <w:sz w:val="18"/>
              </w:rPr>
              <w:t>Recommendation</w:t>
            </w:r>
          </w:p>
        </w:tc>
        <w:tc>
          <w:tcPr>
            <w:tcW w:type="dxa" w:w="3324"/>
            <w:shd w:fill="DDEBF7"/>
          </w:tcPr>
          <w:p>
            <w:pPr>
              <w:spacing w:after="40"/>
            </w:pPr>
            <w:r>
              <w:rPr>
                <w:b/>
                <w:sz w:val="18"/>
              </w:rPr>
              <w:t>Reason</w:t>
            </w:r>
          </w:p>
        </w:tc>
      </w:tr>
      <w:tr>
        <w:tc>
          <w:tcPr>
            <w:tcW w:type="dxa" w:w="3324"/>
          </w:tcPr>
          <w:p>
            <w:pPr>
              <w:spacing w:after="40"/>
            </w:pPr>
            <w:r>
              <w:rPr>
                <w:sz w:val="18"/>
              </w:rPr>
              <w:t>Shared storage</w:t>
            </w:r>
          </w:p>
        </w:tc>
        <w:tc>
          <w:tcPr>
            <w:tcW w:type="dxa" w:w="3324"/>
          </w:tcPr>
          <w:p>
            <w:pPr>
              <w:spacing w:after="40"/>
            </w:pPr>
            <w:r>
              <w:rPr>
                <w:sz w:val="18"/>
              </w:rPr>
              <w:t>Mount the same versioned memory directory for inference and workers</w:t>
            </w:r>
          </w:p>
        </w:tc>
        <w:tc>
          <w:tcPr>
            <w:tcW w:type="dxa" w:w="3324"/>
          </w:tcPr>
          <w:p>
            <w:pPr>
              <w:spacing w:after="40"/>
            </w:pPr>
            <w:r>
              <w:rPr>
                <w:sz w:val="18"/>
              </w:rPr>
              <w:t>Preserves consistent snapshots and event logs</w:t>
            </w:r>
          </w:p>
        </w:tc>
      </w:tr>
      <w:tr>
        <w:tc>
          <w:tcPr>
            <w:tcW w:type="dxa" w:w="3324"/>
          </w:tcPr>
          <w:p>
            <w:pPr>
              <w:spacing w:after="40"/>
            </w:pPr>
            <w:r>
              <w:rPr>
                <w:sz w:val="18"/>
              </w:rPr>
              <w:t>Role isolation</w:t>
            </w:r>
          </w:p>
        </w:tc>
        <w:tc>
          <w:tcPr>
            <w:tcW w:type="dxa" w:w="3324"/>
          </w:tcPr>
          <w:p>
            <w:pPr>
              <w:spacing w:after="40"/>
            </w:pPr>
            <w:r>
              <w:rPr>
                <w:sz w:val="18"/>
              </w:rPr>
              <w:t>Run inference, silent training, and maintenance as separate services</w:t>
            </w:r>
          </w:p>
        </w:tc>
        <w:tc>
          <w:tcPr>
            <w:tcW w:type="dxa" w:w="3324"/>
          </w:tcPr>
          <w:p>
            <w:pPr>
              <w:spacing w:after="40"/>
            </w:pPr>
            <w:r>
              <w:rPr>
                <w:sz w:val="18"/>
              </w:rPr>
              <w:t>Prevents training and compaction from degrading interactive latency</w:t>
            </w:r>
          </w:p>
        </w:tc>
      </w:tr>
      <w:tr>
        <w:tc>
          <w:tcPr>
            <w:tcW w:type="dxa" w:w="3324"/>
          </w:tcPr>
          <w:p>
            <w:pPr>
              <w:spacing w:after="40"/>
            </w:pPr>
            <w:r>
              <w:rPr>
                <w:sz w:val="18"/>
              </w:rPr>
              <w:t>Config management</w:t>
            </w:r>
          </w:p>
        </w:tc>
        <w:tc>
          <w:tcPr>
            <w:tcW w:type="dxa" w:w="3324"/>
          </w:tcPr>
          <w:p>
            <w:pPr>
              <w:spacing w:after="40"/>
            </w:pPr>
            <w:r>
              <w:rPr>
                <w:sz w:val="18"/>
              </w:rPr>
              <w:t>Inject Appendix B style config through mounted YAML or environment bindings</w:t>
            </w:r>
          </w:p>
        </w:tc>
        <w:tc>
          <w:tcPr>
            <w:tcW w:type="dxa" w:w="3324"/>
          </w:tcPr>
          <w:p>
            <w:pPr>
              <w:spacing w:after="40"/>
            </w:pPr>
            <w:r>
              <w:rPr>
                <w:sz w:val="18"/>
              </w:rPr>
              <w:t>Allows threshold tuning without rebuilds</w:t>
            </w:r>
          </w:p>
        </w:tc>
      </w:tr>
      <w:tr>
        <w:tc>
          <w:tcPr>
            <w:tcW w:type="dxa" w:w="3324"/>
          </w:tcPr>
          <w:p>
            <w:pPr>
              <w:spacing w:after="40"/>
            </w:pPr>
            <w:r>
              <w:rPr>
                <w:sz w:val="18"/>
              </w:rPr>
              <w:t>Observability</w:t>
            </w:r>
          </w:p>
        </w:tc>
        <w:tc>
          <w:tcPr>
            <w:tcW w:type="dxa" w:w="3324"/>
          </w:tcPr>
          <w:p>
            <w:pPr>
              <w:spacing w:after="40"/>
            </w:pPr>
            <w:r>
              <w:rPr>
                <w:sz w:val="18"/>
              </w:rPr>
              <w:t>Export telemetry for queue depth, retrieval rate, memory growth, and commit failures</w:t>
            </w:r>
          </w:p>
        </w:tc>
        <w:tc>
          <w:tcPr>
            <w:tcW w:type="dxa" w:w="3324"/>
          </w:tcPr>
          <w:p>
            <w:pPr>
              <w:spacing w:after="40"/>
            </w:pPr>
            <w:r>
              <w:rPr>
                <w:sz w:val="18"/>
              </w:rPr>
              <w:t>Supports operational governance and debugging</w:t>
            </w:r>
          </w:p>
        </w:tc>
      </w:tr>
    </w:tbl>
    <w:p>
      <w:r>
        <w:br w:type="page"/>
      </w:r>
    </w:p>
    <w:p>
      <w:pPr>
        <w:pStyle w:val="Heading1"/>
      </w:pPr>
      <w:r>
        <w:t>Engineering Decision Points and Baseline Defaults</w:t>
      </w:r>
    </w:p>
    <w:p>
      <w:pPr>
        <w:spacing w:after="120"/>
      </w:pPr>
      <w:r>
        <w:t>This section resolves the remaining non-blocking engineering decision points by defining recommended baseline choices. These defaults are intended for Phase 1-6 implementation handoff so a coding agent can proceed without pausing for policy debates. All three areas remain configurable and can be tuned later through Appendix B and benchmark-driven iteration.</w:t>
      </w:r>
    </w:p>
    <w:p>
      <w:pPr>
        <w:pStyle w:val="Small"/>
      </w:pPr>
      <w:r>
        <w:rPr>
          <w:sz w:val="20"/>
        </w:rPr>
        <w:t>MVP default choices. Use rolling-hash proposal generation for Layer 2, a local Fruchterman-Reingold style pass for Layer 5, MessagePack for internal persistence, Protocol Buffers for external APIs, and ArcSwap for publishing Layer 5-6 snapshots.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E8F1FB"/>
          </w:tcPr>
          <w:p>
            <w:pPr>
              <w:spacing w:after="60" w:before="0"/>
            </w:pPr>
            <w:r>
              <w:rPr>
                <w:b/>
                <w:sz w:val="18"/>
              </w:rPr>
              <w:t>Area</w:t>
            </w:r>
          </w:p>
        </w:tc>
        <w:tc>
          <w:tcPr>
            <w:tcW w:type="dxa" w:w="1994"/>
            <w:shd w:fill="E8F1FB"/>
          </w:tcPr>
          <w:p>
            <w:pPr>
              <w:spacing w:after="60" w:before="0"/>
            </w:pPr>
            <w:r>
              <w:rPr>
                <w:b/>
                <w:sz w:val="18"/>
              </w:rPr>
              <w:t>Constraint Already Defined</w:t>
            </w:r>
          </w:p>
        </w:tc>
        <w:tc>
          <w:tcPr>
            <w:tcW w:type="dxa" w:w="1994"/>
            <w:shd w:fill="E8F1FB"/>
          </w:tcPr>
          <w:p>
            <w:pPr>
              <w:spacing w:after="60" w:before="0"/>
            </w:pPr>
            <w:r>
              <w:rPr>
                <w:b/>
                <w:sz w:val="18"/>
              </w:rPr>
              <w:t>Baseline Default</w:t>
            </w:r>
          </w:p>
        </w:tc>
        <w:tc>
          <w:tcPr>
            <w:tcW w:type="dxa" w:w="1994"/>
            <w:shd w:fill="E8F1FB"/>
          </w:tcPr>
          <w:p>
            <w:pPr>
              <w:spacing w:after="60" w:before="0"/>
            </w:pPr>
            <w:r>
              <w:rPr>
                <w:b/>
                <w:sz w:val="18"/>
              </w:rPr>
              <w:t>Tunable Later</w:t>
            </w:r>
          </w:p>
        </w:tc>
        <w:tc>
          <w:tcPr>
            <w:tcW w:type="dxa" w:w="1994"/>
            <w:shd w:fill="E8F1FB"/>
          </w:tcPr>
          <w:p>
            <w:pPr>
              <w:spacing w:after="60" w:before="0"/>
            </w:pPr>
            <w:r>
              <w:rPr>
                <w:b/>
                <w:sz w:val="18"/>
              </w:rPr>
              <w:t>Reason for Default</w:t>
            </w:r>
          </w:p>
        </w:tc>
      </w:tr>
      <w:tr>
        <w:tc>
          <w:tcPr>
            <w:tcW w:type="dxa" w:w="1994"/>
          </w:tcPr>
          <w:p>
            <w:pPr>
              <w:spacing w:after="60" w:before="0"/>
            </w:pPr>
            <w:r>
              <w:rPr>
                <w:sz w:val="18"/>
              </w:rPr>
              <w:t>Layer 5 - 3D Map Physics</w:t>
            </w:r>
          </w:p>
        </w:tc>
        <w:tc>
          <w:tcPr>
            <w:tcW w:type="dxa" w:w="1994"/>
          </w:tcPr>
          <w:p>
            <w:pPr>
              <w:spacing w:after="60" w:before="0"/>
            </w:pPr>
            <w:r>
              <w:rPr>
                <w:sz w:val="18"/>
              </w:rPr>
              <w:t>Force-directed energy minimization with constrained spatial corrections</w:t>
            </w:r>
          </w:p>
        </w:tc>
        <w:tc>
          <w:tcPr>
            <w:tcW w:type="dxa" w:w="1994"/>
          </w:tcPr>
          <w:p>
            <w:pPr>
              <w:spacing w:after="60" w:before="0"/>
            </w:pPr>
            <w:r>
              <w:rPr>
                <w:sz w:val="18"/>
              </w:rPr>
              <w:t>Fruchterman-Reingold style spring model with anchor locks and bounded displacement per update pass</w:t>
            </w:r>
          </w:p>
        </w:tc>
        <w:tc>
          <w:tcPr>
            <w:tcW w:type="dxa" w:w="1994"/>
          </w:tcPr>
          <w:p>
            <w:pPr>
              <w:spacing w:after="60" w:before="0"/>
            </w:pPr>
            <w:r>
              <w:rPr>
                <w:sz w:val="18"/>
              </w:rPr>
              <w:t>Yes</w:t>
            </w:r>
          </w:p>
        </w:tc>
        <w:tc>
          <w:tcPr>
            <w:tcW w:type="dxa" w:w="1994"/>
          </w:tcPr>
          <w:p>
            <w:pPr>
              <w:spacing w:after="60" w:before="0"/>
            </w:pPr>
            <w:r>
              <w:rPr>
                <w:sz w:val="18"/>
              </w:rPr>
              <w:t>Simple, well-understood, CPU-friendly baseline for sparse semantic graphs</w:t>
            </w:r>
          </w:p>
        </w:tc>
      </w:tr>
      <w:tr>
        <w:tc>
          <w:tcPr>
            <w:tcW w:type="dxa" w:w="1994"/>
          </w:tcPr>
          <w:p>
            <w:pPr>
              <w:spacing w:after="60" w:before="0"/>
            </w:pPr>
            <w:r>
              <w:rPr>
                <w:sz w:val="18"/>
              </w:rPr>
              <w:t>Layer 13 - Evidence Merge</w:t>
            </w:r>
          </w:p>
        </w:tc>
        <w:tc>
          <w:tcPr>
            <w:tcW w:type="dxa" w:w="1994"/>
          </w:tcPr>
          <w:p>
            <w:pPr>
              <w:spacing w:after="60" w:before="0"/>
            </w:pPr>
            <w:r>
              <w:rPr>
                <w:sz w:val="18"/>
              </w:rPr>
              <w:t>Combine source reliability, timestamp recency, and agreement across sources</w:t>
            </w:r>
          </w:p>
        </w:tc>
        <w:tc>
          <w:tcPr>
            <w:tcW w:type="dxa" w:w="1994"/>
          </w:tcPr>
          <w:p>
            <w:pPr>
              <w:spacing w:after="60" w:before="0"/>
            </w:pPr>
            <w:r>
              <w:rPr>
                <w:sz w:val="18"/>
              </w:rPr>
              <w:t>Weighted evidence score = 0.5·trust + 0.3·recency + 0.2·agreement; choose highest score above confidence floor</w:t>
            </w:r>
          </w:p>
        </w:tc>
        <w:tc>
          <w:tcPr>
            <w:tcW w:type="dxa" w:w="1994"/>
          </w:tcPr>
          <w:p>
            <w:pPr>
              <w:spacing w:after="60" w:before="0"/>
            </w:pPr>
            <w:r>
              <w:rPr>
                <w:sz w:val="18"/>
              </w:rPr>
              <w:t>Yes</w:t>
            </w:r>
          </w:p>
        </w:tc>
        <w:tc>
          <w:tcPr>
            <w:tcW w:type="dxa" w:w="1994"/>
          </w:tcPr>
          <w:p>
            <w:pPr>
              <w:spacing w:after="60" w:before="0"/>
            </w:pPr>
            <w:r>
              <w:rPr>
                <w:sz w:val="18"/>
              </w:rPr>
              <w:t>Provides deterministic starter behavior and easy observability</w:t>
            </w:r>
          </w:p>
        </w:tc>
      </w:tr>
      <w:tr>
        <w:tc>
          <w:tcPr>
            <w:tcW w:type="dxa" w:w="1994"/>
          </w:tcPr>
          <w:p>
            <w:pPr>
              <w:spacing w:after="60" w:before="0"/>
            </w:pPr>
            <w:r>
              <w:rPr>
                <w:sz w:val="18"/>
              </w:rPr>
              <w:t>Layer 19 - Trust Heuristics</w:t>
            </w:r>
          </w:p>
        </w:tc>
        <w:tc>
          <w:tcPr>
            <w:tcW w:type="dxa" w:w="1994"/>
          </w:tcPr>
          <w:p>
            <w:pPr>
              <w:spacing w:after="60" w:before="0"/>
            </w:pPr>
            <w:r>
              <w:rPr>
                <w:sz w:val="18"/>
              </w:rPr>
              <w:t>Low default trust, corroboration-aware promotion, and source safety screening</w:t>
            </w:r>
          </w:p>
        </w:tc>
        <w:tc>
          <w:tcPr>
            <w:tcW w:type="dxa" w:w="1994"/>
          </w:tcPr>
          <w:p>
            <w:pPr>
              <w:spacing w:after="60" w:before="0"/>
            </w:pPr>
            <w:r>
              <w:rPr>
                <w:sz w:val="18"/>
              </w:rPr>
              <w:t>Default trust 0.5, +0.1 for HTTPS, +0.1 for allowlisted domain, -0.2 for extraction warnings, promotion only after corroboration &gt;= 2</w:t>
            </w:r>
          </w:p>
        </w:tc>
        <w:tc>
          <w:tcPr>
            <w:tcW w:type="dxa" w:w="1994"/>
          </w:tcPr>
          <w:p>
            <w:pPr>
              <w:spacing w:after="60" w:before="0"/>
            </w:pPr>
            <w:r>
              <w:rPr>
                <w:sz w:val="18"/>
              </w:rPr>
              <w:t>Yes</w:t>
            </w:r>
          </w:p>
        </w:tc>
        <w:tc>
          <w:tcPr>
            <w:tcW w:type="dxa" w:w="1994"/>
          </w:tcPr>
          <w:p>
            <w:pPr>
              <w:spacing w:after="60" w:before="0"/>
            </w:pPr>
            <w:r>
              <w:rPr>
                <w:sz w:val="18"/>
              </w:rPr>
              <w:t>Conservative trust policy that is straightforward to audit</w:t>
            </w:r>
          </w:p>
        </w:tc>
      </w:tr>
    </w:tbl>
    <w:p>
      <w:pPr>
        <w:pStyle w:val="Heading2"/>
      </w:pPr>
      <w:r>
        <w:t>Layer 5 Baseline Map Update Policy</w:t>
      </w:r>
    </w:p>
    <w:p>
      <w:pPr>
        <w:spacing w:after="80"/>
      </w:pPr>
      <w:r>
        <w:t>Prediction-error statistics collected online by Layer 18 should be converted into deferred spatial corrections rather than immediate per-token coordinate movement. The recommended baseline is a Fruchterman-Reingold style spring model over the local semantic graph with anchor points pinned and ordinary units subject to bounded displacement. Inference reads the last stable snapshot while force-directed passes execute only in maintenance windows.</w:t>
      </w:r>
    </w:p>
    <w:p>
      <w:pPr>
        <w:pStyle w:val="ListBullet"/>
        <w:spacing w:after="40"/>
      </w:pPr>
      <w:r>
        <w:t>Use local subgraph updates rather than global graph relaxation whenever possible.</w:t>
      </w:r>
    </w:p>
    <w:p>
      <w:pPr>
        <w:pStyle w:val="ListBullet"/>
        <w:spacing w:after="40"/>
      </w:pPr>
      <w:r>
        <w:t>Cap per-pass displacement so no unit moves more than a small configured radius from its previous position.</w:t>
      </w:r>
    </w:p>
    <w:p>
      <w:pPr>
        <w:pStyle w:val="ListBullet"/>
        <w:spacing w:after="40"/>
      </w:pPr>
      <w:r>
        <w:t>Skip units in PositionLocks and anchor-protected clusters unless an explicit maintenance override is enabled.</w:t>
      </w:r>
    </w:p>
    <w:p>
      <w:pPr>
        <w:pStyle w:val="ListBullet"/>
        <w:spacing w:after="40"/>
      </w:pPr>
      <w:r>
        <w:t>If divergence is detected, rollback to the prior snapshot and retry with lower attraction/repulsion coefficients.</w:t>
      </w:r>
    </w:p>
    <w:p>
      <w:pPr>
        <w:pStyle w:val="Heading2"/>
      </w:pPr>
      <w:r>
        <w:t>Layer 13 Baseline Evidence Merge Policy</w:t>
      </w:r>
    </w:p>
    <w:p>
      <w:pPr>
        <w:spacing w:after="80"/>
      </w:pPr>
      <w:r>
        <w:t>When external retrieval is active, the default merge equation should remain simple and inspectable. A practical baseline is EvidenceScore = 0.5·Trust + 0.3·Recency + 0.2·Agreement, where each feature is normalized to [0,1]. Internal memory remains eligible as a candidate and should be treated as a pseudo-source with its own trust and recency signals. When retrieval is inactive, evidence support must remain exactly zero, preserving internal-only scoring behavior.</w:t>
      </w:r>
    </w:p>
    <w:p>
      <w:pPr>
        <w:pStyle w:val="ListBullet"/>
        <w:spacing w:after="40"/>
      </w:pPr>
      <w:r>
        <w:t>Prefer the highest-scoring candidate above a minimum confidence floor.</w:t>
      </w:r>
    </w:p>
    <w:p>
      <w:pPr>
        <w:pStyle w:val="ListBullet"/>
        <w:spacing w:after="40"/>
      </w:pPr>
      <w:r>
        <w:t>If two candidates are close within an ambiguity margin, return the safer/cautious answer path and log the conflict.</w:t>
      </w:r>
    </w:p>
    <w:p>
      <w:pPr>
        <w:pStyle w:val="ListBullet"/>
        <w:spacing w:after="40"/>
      </w:pPr>
      <w:r>
        <w:t>For stable domains such as math or historical facts, increase internal-memory weight; for dynamic domains, increase recency weight.</w:t>
      </w:r>
    </w:p>
    <w:p>
      <w:pPr>
        <w:pStyle w:val="ListBullet"/>
        <w:spacing w:after="40"/>
      </w:pPr>
      <w:r>
        <w:t>Expose all coefficients through configuration so later tuning does not require code changes.</w:t>
      </w:r>
    </w:p>
    <w:p>
      <w:pPr>
        <w:pStyle w:val="Heading2"/>
      </w:pPr>
      <w:r>
        <w:t>Layer 19 Baseline Trust Policy</w:t>
      </w:r>
    </w:p>
    <w:p>
      <w:pPr>
        <w:spacing w:after="80"/>
      </w:pPr>
      <w:r>
        <w:t>The trust layer should start conservative, explicit, and easy to audit. Assign every new external source a default trust of 0.5, then apply small deterministic adjustments based on transport security, source class, extraction quality, and corroboration. No external fact should be promoted to core memory from a single weak source unless explicitly user-confirmed.</w:t>
      </w:r>
    </w:p>
    <w:p>
      <w:pPr>
        <w:pStyle w:val="ListBullet"/>
        <w:spacing w:after="40"/>
      </w:pPr>
      <w:r>
        <w:t>Add +0.1 trust for HTTPS transport and +0.1 for allowlisted or previously validated domains.</w:t>
      </w:r>
    </w:p>
    <w:p>
      <w:pPr>
        <w:pStyle w:val="ListBullet"/>
        <w:spacing w:after="40"/>
      </w:pPr>
      <w:r>
        <w:t>Subtract 0.2 trust for parser warnings, obvious boilerplate dominance, or low readability score.</w:t>
      </w:r>
    </w:p>
    <w:p>
      <w:pPr>
        <w:pStyle w:val="ListBullet"/>
        <w:spacing w:after="40"/>
      </w:pPr>
      <w:r>
        <w:t>Require corroboration from at least two distinct sources before durable promotion to core memory, unless the user explicitly confirms the fact.</w:t>
      </w:r>
    </w:p>
    <w:p>
      <w:pPr>
        <w:pStyle w:val="ListBullet"/>
        <w:spacing w:after="40"/>
      </w:pPr>
      <w:r>
        <w:t>Keep all trust adjustments in telemetry so policy tuning remains transparent.</w:t>
      </w:r>
    </w:p>
    <w:p>
      <w:pPr>
        <w:pStyle w:val="Heading2"/>
      </w:pPr>
      <w:r>
        <w:t>Recommended Handoff Note for Coding Agents</w:t>
      </w:r>
    </w:p>
    <w:p>
      <w:pPr/>
      <w:r>
        <w:t>For immediate implementation, use the baseline defaults in this section unless a later benchmark or policy review overrides them. This allows Phases 1-6 to proceed sequentially without blocking on algorithm selection for map physics, evidence merge, or trust heuristics.</w:t>
      </w:r>
    </w:p>
    <w:p>
      <w:r>
        <w:br w:type="page"/>
      </w:r>
    </w:p>
    <w:p>
      <w:pPr>
        <w:pStyle w:val="Heading1"/>
      </w:pPr>
      <w:r>
        <w:t>Codebase Alignment Update (March 13, 2026)</w:t>
      </w:r>
    </w:p>
    <w:p>
      <w:r>
        <w:t>This update aligns the publication-oriented SPS v11 architecture document to the current implementation in /Volumes/SSD/Github/spse_engine. The 21-layer architecture remains the main organizing structure of the system. The notes below describe how the code currently realizes that structure, which boundaries are collapsed for engineering reasons, and which training and intent mechanisms are actually present in the product.</w:t>
      </w:r>
    </w:p>
    <w:p>
      <w:pPr>
        <w:pStyle w:val="Heading2"/>
      </w:pPr>
      <w:r>
        <w:t>Main Structural Conformance</w:t>
      </w:r>
    </w:p>
    <w:p>
      <w:pPr>
        <w:pStyle w:val="ListBullet"/>
      </w:pPr>
      <w:r>
        <w:t>The codebase still follows the 21-layer model as its primary decomposition for inference, training, trust, memory governance, and debugging.</w:t>
      </w:r>
    </w:p>
    <w:p>
      <w:pPr>
        <w:pStyle w:val="ListBullet"/>
      </w:pPr>
      <w:r>
        <w:t>Inference reads stable Layer 4 and Layer 5 snapshots through ArcSwap-published memory snapshots, while training and maintenance run on lower-priority scheduler lanes.</w:t>
      </w:r>
    </w:p>
    <w:p>
      <w:pPr>
        <w:pStyle w:val="ListBullet"/>
      </w:pPr>
      <w:r>
        <w:t>Silent training is implemented as a separate path that bypasses generation and retrieval decisioning structurally, while still collecting intent and telemetry signals.</w:t>
      </w:r>
    </w:p>
    <w:p>
      <w:pPr>
        <w:pStyle w:val="ListBullet"/>
      </w:pPr>
      <w:r>
        <w:t>Layer 12 normalization is now configuration-driven for heterogeneous sources, so HTML, QA JSON, structured datasets, code, Wikipedia XML, Wikidata truthy dumps, OpenAPI specs, Common Crawl WET files, and Hugging Face row formats are normalized before graph formation.</w:t>
      </w:r>
    </w:p>
    <w:p>
      <w:pPr>
        <w:pStyle w:val="ListBullet"/>
      </w:pPr>
      <w:r>
        <w:t>Intent understanding is hybrid: heuristic classification remains the bootstrap signal, but runtime intent can be reinforced by trained Intent-channel memory and intent-labeled contexts.</w:t>
      </w:r>
    </w:p>
    <w:p>
      <w:pPr>
        <w:pStyle w:val="Heading2"/>
      </w:pPr>
      <w:r>
        <w:t>Current Layer Alignment Summary</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Layer</w:t>
            </w:r>
          </w:p>
        </w:tc>
        <w:tc>
          <w:tcPr>
            <w:tcW w:type="dxa" w:w="2493"/>
          </w:tcPr>
          <w:p>
            <w:r>
              <w:t>Codebase Status</w:t>
            </w:r>
          </w:p>
        </w:tc>
        <w:tc>
          <w:tcPr>
            <w:tcW w:type="dxa" w:w="2493"/>
          </w:tcPr>
          <w:p>
            <w:r>
              <w:t>Primary Implementation</w:t>
            </w:r>
          </w:p>
        </w:tc>
        <w:tc>
          <w:tcPr>
            <w:tcW w:type="dxa" w:w="2493"/>
          </w:tcPr>
          <w:p>
            <w:r>
              <w:t>Alignment Note</w:t>
            </w:r>
          </w:p>
        </w:tc>
      </w:tr>
      <w:tr>
        <w:tc>
          <w:tcPr>
            <w:tcW w:type="dxa" w:w="2493"/>
          </w:tcPr>
          <w:p>
            <w:r>
              <w:t>1</w:t>
            </w:r>
          </w:p>
        </w:tc>
        <w:tc>
          <w:tcPr>
            <w:tcW w:type="dxa" w:w="2493"/>
          </w:tcPr>
          <w:p>
            <w:r>
              <w:t>Implemented</w:t>
            </w:r>
          </w:p>
        </w:tc>
        <w:tc>
          <w:tcPr>
            <w:tcW w:type="dxa" w:w="2493"/>
          </w:tcPr>
          <w:p>
            <w:r>
              <w:t>Input packet and raw text ingestion</w:t>
            </w:r>
          </w:p>
        </w:tc>
        <w:tc>
          <w:tcPr>
            <w:tcW w:type="dxa" w:w="2493"/>
          </w:tcPr>
          <w:p>
            <w:r>
              <w:t>Raw text enters as normalized bytes/Unicode without fixed runtime token boundaries.</w:t>
            </w:r>
          </w:p>
        </w:tc>
      </w:tr>
      <w:tr>
        <w:tc>
          <w:tcPr>
            <w:tcW w:type="dxa" w:w="2493"/>
          </w:tcPr>
          <w:p>
            <w:r>
              <w:t>2</w:t>
            </w:r>
          </w:p>
        </w:tc>
        <w:tc>
          <w:tcPr>
            <w:tcW w:type="dxa" w:w="2493"/>
          </w:tcPr>
          <w:p>
            <w:r>
              <w:t>Implemented</w:t>
            </w:r>
          </w:p>
        </w:tc>
        <w:tc>
          <w:tcPr>
            <w:tcW w:type="dxa" w:w="2493"/>
          </w:tcPr>
          <w:p>
            <w:r>
              <w:t>Rolling-hash builder with seeded bootstrap and adaptive thresholds</w:t>
            </w:r>
          </w:p>
        </w:tc>
        <w:tc>
          <w:tcPr>
            <w:tcW w:type="dxa" w:w="2493"/>
          </w:tcPr>
          <w:p>
            <w:r>
              <w:t>Cold-start seeding and maturity-aware discovery/pruning are active in code.</w:t>
            </w:r>
          </w:p>
        </w:tc>
      </w:tr>
      <w:tr>
        <w:tc>
          <w:tcPr>
            <w:tcW w:type="dxa" w:w="2493"/>
          </w:tcPr>
          <w:p>
            <w:r>
              <w:t>3</w:t>
            </w:r>
          </w:p>
        </w:tc>
        <w:tc>
          <w:tcPr>
            <w:tcW w:type="dxa" w:w="2493"/>
          </w:tcPr>
          <w:p>
            <w:r>
              <w:t>Implemented (minimal hierarchy)</w:t>
            </w:r>
          </w:p>
        </w:tc>
        <w:tc>
          <w:tcPr>
            <w:tcW w:type="dxa" w:w="2493"/>
          </w:tcPr>
          <w:p>
            <w:r>
              <w:t>Hierarchy builder and typed links</w:t>
            </w:r>
          </w:p>
        </w:tc>
        <w:tc>
          <w:tcPr>
            <w:tcW w:type="dxa" w:w="2493"/>
          </w:tcPr>
          <w:p>
            <w:r>
              <w:t>Hierarchy is real but lighter-weight than a rich symbolic parse tree.</w:t>
            </w:r>
          </w:p>
        </w:tc>
      </w:tr>
      <w:tr>
        <w:tc>
          <w:tcPr>
            <w:tcW w:type="dxa" w:w="2493"/>
          </w:tcPr>
          <w:p>
            <w:r>
              <w:t>4</w:t>
            </w:r>
          </w:p>
        </w:tc>
        <w:tc>
          <w:tcPr>
            <w:tcW w:type="dxa" w:w="2493"/>
          </w:tcPr>
          <w:p>
            <w:r>
              <w:t>Implemented</w:t>
            </w:r>
          </w:p>
        </w:tc>
        <w:tc>
          <w:tcPr>
            <w:tcW w:type="dxa" w:w="2493"/>
          </w:tcPr>
          <w:p>
            <w:r>
              <w:t>SQLite store + MessagePack snapshots + Core/Episodic + Main/Intent/Reasoning channels</w:t>
            </w:r>
          </w:p>
        </w:tc>
        <w:tc>
          <w:tcPr>
            <w:tcW w:type="dxa" w:w="2493"/>
          </w:tcPr>
          <w:p>
            <w:r>
              <w:t>Dual memory exists and is augmented by memory channels for specialized behavior.</w:t>
            </w:r>
          </w:p>
        </w:tc>
      </w:tr>
      <w:tr>
        <w:tc>
          <w:tcPr>
            <w:tcW w:type="dxa" w:w="2493"/>
          </w:tcPr>
          <w:p>
            <w:r>
              <w:t>5</w:t>
            </w:r>
          </w:p>
        </w:tc>
        <w:tc>
          <w:tcPr>
            <w:tcW w:type="dxa" w:w="2493"/>
          </w:tcPr>
          <w:p>
            <w:r>
              <w:t>Implemented</w:t>
            </w:r>
          </w:p>
        </w:tc>
        <w:tc>
          <w:tcPr>
            <w:tcW w:type="dxa" w:w="2493"/>
          </w:tcPr>
          <w:p>
            <w:r>
              <w:t>Force-directed semantic map maintenance</w:t>
            </w:r>
          </w:p>
        </w:tc>
        <w:tc>
          <w:tcPr>
            <w:tcW w:type="dxa" w:w="2493"/>
          </w:tcPr>
          <w:p>
            <w:r>
              <w:t>Map updates are bounded, anchor-aware, and rollback-capable.</w:t>
            </w:r>
          </w:p>
        </w:tc>
      </w:tr>
      <w:tr>
        <w:tc>
          <w:tcPr>
            <w:tcW w:type="dxa" w:w="2493"/>
          </w:tcPr>
          <w:p>
            <w:r>
              <w:t>6</w:t>
            </w:r>
          </w:p>
        </w:tc>
        <w:tc>
          <w:tcPr>
            <w:tcW w:type="dxa" w:w="2493"/>
          </w:tcPr>
          <w:p>
            <w:r>
              <w:t>Implemented with engineering deviation</w:t>
            </w:r>
          </w:p>
        </w:tc>
        <w:tc>
          <w:tcPr>
            <w:tcW w:type="dxa" w:w="2493"/>
          </w:tcPr>
          <w:p>
            <w:r>
              <w:t>SpatialGrid region index</w:t>
            </w:r>
          </w:p>
        </w:tc>
        <w:tc>
          <w:tcPr>
            <w:tcW w:type="dxa" w:w="2493"/>
          </w:tcPr>
          <w:p>
            <w:r>
              <w:t>The code uses a fixed 3D spatial hash/grid rather than an octree with halo regions.</w:t>
            </w:r>
          </w:p>
        </w:tc>
      </w:tr>
      <w:tr>
        <w:tc>
          <w:tcPr>
            <w:tcW w:type="dxa" w:w="2493"/>
          </w:tcPr>
          <w:p>
            <w:r>
              <w:t>7</w:t>
            </w:r>
          </w:p>
        </w:tc>
        <w:tc>
          <w:tcPr>
            <w:tcW w:type="dxa" w:w="2493"/>
          </w:tcPr>
          <w:p>
            <w:r>
              <w:t>Implemented</w:t>
            </w:r>
          </w:p>
        </w:tc>
        <w:tc>
          <w:tcPr>
            <w:tcW w:type="dxa" w:w="2493"/>
          </w:tcPr>
          <w:p>
            <w:r>
              <w:t>ContextMatrix and salience update path</w:t>
            </w:r>
          </w:p>
        </w:tc>
        <w:tc>
          <w:tcPr>
            <w:tcW w:type="dxa" w:w="2493"/>
          </w:tcPr>
          <w:p>
            <w:r>
              <w:t>Context remains a weighted activation structure used downstream in scoring and decoding.</w:t>
            </w:r>
          </w:p>
        </w:tc>
      </w:tr>
      <w:tr>
        <w:tc>
          <w:tcPr>
            <w:tcW w:type="dxa" w:w="2493"/>
          </w:tcPr>
          <w:p>
            <w:r>
              <w:t>8</w:t>
            </w:r>
          </w:p>
        </w:tc>
        <w:tc>
          <w:tcPr>
            <w:tcW w:type="dxa" w:w="2493"/>
          </w:tcPr>
          <w:p>
            <w:r>
              <w:t>Implemented</w:t>
            </w:r>
          </w:p>
        </w:tc>
        <w:tc>
          <w:tcPr>
            <w:tcW w:type="dxa" w:w="2493"/>
          </w:tcPr>
          <w:p>
            <w:r>
              <w:t>SequenceState and anchor heuristics</w:t>
            </w:r>
          </w:p>
        </w:tc>
        <w:tc>
          <w:tcPr>
            <w:tcW w:type="dxa" w:w="2493"/>
          </w:tcPr>
          <w:p>
            <w:r>
              <w:t>Sequence compression and anchor retention are present in both inference and training paths.</w:t>
            </w:r>
          </w:p>
        </w:tc>
      </w:tr>
      <w:tr>
        <w:tc>
          <w:tcPr>
            <w:tcW w:type="dxa" w:w="2493"/>
          </w:tcPr>
          <w:p>
            <w:r>
              <w:t>9</w:t>
            </w:r>
          </w:p>
        </w:tc>
        <w:tc>
          <w:tcPr>
            <w:tcW w:type="dxa" w:w="2493"/>
          </w:tcPr>
          <w:p>
            <w:r>
              <w:t>Implemented</w:t>
            </w:r>
          </w:p>
        </w:tc>
        <w:tc>
          <w:tcPr>
            <w:tcW w:type="dxa" w:w="2493"/>
          </w:tcPr>
          <w:p>
            <w:r>
              <w:t>IntentDetector + retrieval assessment + memory-backed intent refinement</w:t>
            </w:r>
          </w:p>
        </w:tc>
        <w:tc>
          <w:tcPr>
            <w:tcW w:type="dxa" w:w="2493"/>
          </w:tcPr>
          <w:p>
            <w:r>
              <w:t>Intent and retrieval are hybrid: heuristics are fused with Intent-channel memory.</w:t>
            </w:r>
          </w:p>
        </w:tc>
      </w:tr>
      <w:tr>
        <w:tc>
          <w:tcPr>
            <w:tcW w:type="dxa" w:w="2493"/>
          </w:tcPr>
          <w:p>
            <w:r>
              <w:t>10</w:t>
            </w:r>
          </w:p>
        </w:tc>
        <w:tc>
          <w:tcPr>
            <w:tcW w:type="dxa" w:w="2493"/>
          </w:tcPr>
          <w:p>
            <w:r>
              <w:t>Implemented</w:t>
            </w:r>
          </w:p>
        </w:tc>
        <w:tc>
          <w:tcPr>
            <w:tcW w:type="dxa" w:w="2493"/>
          </w:tcPr>
          <w:p>
            <w:r>
              <w:t>Safe query builder and sanitization heuristics</w:t>
            </w:r>
          </w:p>
        </w:tc>
        <w:tc>
          <w:tcPr>
            <w:tcW w:type="dxa" w:w="2493"/>
          </w:tcPr>
          <w:p>
            <w:r>
              <w:t>PII stripping and search-term construction are present, though heuristic rather than formally semantic.</w:t>
            </w:r>
          </w:p>
        </w:tc>
      </w:tr>
      <w:tr>
        <w:tc>
          <w:tcPr>
            <w:tcW w:type="dxa" w:w="2493"/>
          </w:tcPr>
          <w:p>
            <w:r>
              <w:t>11</w:t>
            </w:r>
          </w:p>
        </w:tc>
        <w:tc>
          <w:tcPr>
            <w:tcW w:type="dxa" w:w="2493"/>
          </w:tcPr>
          <w:p>
            <w:r>
              <w:t>Implemented</w:t>
            </w:r>
          </w:p>
        </w:tc>
        <w:tc>
          <w:tcPr>
            <w:tcW w:type="dxa" w:w="2493"/>
          </w:tcPr>
          <w:p>
            <w:r>
              <w:t>Retrieval connectors, timeout handling, caching</w:t>
            </w:r>
          </w:p>
        </w:tc>
        <w:tc>
          <w:tcPr>
            <w:tcW w:type="dxa" w:w="2493"/>
          </w:tcPr>
          <w:p>
            <w:r>
              <w:t>Official-source retrieval paths are active; retrieval still happens inline on the prompt path.</w:t>
            </w:r>
          </w:p>
        </w:tc>
      </w:tr>
      <w:tr>
        <w:tc>
          <w:tcPr>
            <w:tcW w:type="dxa" w:w="2493"/>
          </w:tcPr>
          <w:p>
            <w:r>
              <w:t>12</w:t>
            </w:r>
          </w:p>
        </w:tc>
        <w:tc>
          <w:tcPr>
            <w:tcW w:type="dxa" w:w="2493"/>
          </w:tcPr>
          <w:p>
            <w:r>
              <w:t>Implemented</w:t>
            </w:r>
          </w:p>
        </w:tc>
        <w:tc>
          <w:tcPr>
            <w:tcW w:type="dxa" w:w="2493"/>
          </w:tcPr>
          <w:p>
            <w:r>
              <w:t>Format-aware normalization and source policies</w:t>
            </w:r>
          </w:p>
        </w:tc>
        <w:tc>
          <w:tcPr>
            <w:tcW w:type="dxa" w:w="2493"/>
          </w:tcPr>
          <w:p>
            <w:r>
              <w:t>This is where heterogeneous downloaded data is cleaned before unit formation.</w:t>
            </w:r>
          </w:p>
        </w:tc>
      </w:tr>
      <w:tr>
        <w:tc>
          <w:tcPr>
            <w:tcW w:type="dxa" w:w="2493"/>
          </w:tcPr>
          <w:p>
            <w:r>
              <w:t>13</w:t>
            </w:r>
          </w:p>
        </w:tc>
        <w:tc>
          <w:tcPr>
            <w:tcW w:type="dxa" w:w="2493"/>
          </w:tcPr>
          <w:p>
            <w:r>
              <w:t>Implemented</w:t>
            </w:r>
          </w:p>
        </w:tc>
        <w:tc>
          <w:tcPr>
            <w:tcW w:type="dxa" w:w="2493"/>
          </w:tcPr>
          <w:p>
            <w:r>
              <w:t>Evidence merge and conflict handling</w:t>
            </w:r>
          </w:p>
        </w:tc>
        <w:tc>
          <w:tcPr>
            <w:tcW w:type="dxa" w:w="2493"/>
          </w:tcPr>
          <w:p>
            <w:r>
              <w:t>Trust, recency, overlap, and contradiction signals are merged before candidate scoring.</w:t>
            </w:r>
          </w:p>
        </w:tc>
      </w:tr>
      <w:tr>
        <w:tc>
          <w:tcPr>
            <w:tcW w:type="dxa" w:w="2493"/>
          </w:tcPr>
          <w:p>
            <w:r>
              <w:t>14</w:t>
            </w:r>
          </w:p>
        </w:tc>
        <w:tc>
          <w:tcPr>
            <w:tcW w:type="dxa" w:w="2493"/>
          </w:tcPr>
          <w:p>
            <w:r>
              <w:t>Implemented</w:t>
            </w:r>
          </w:p>
        </w:tc>
        <w:tc>
          <w:tcPr>
            <w:tcW w:type="dxa" w:w="2493"/>
          </w:tcPr>
          <w:p>
            <w:r>
              <w:t>Adaptive candidate scorer</w:t>
            </w:r>
          </w:p>
        </w:tc>
        <w:tc>
          <w:tcPr>
            <w:tcW w:type="dxa" w:w="2493"/>
          </w:tcPr>
          <w:p>
            <w:r>
              <w:t>Scoring weights are config-driven and can be tuned by intent-adaptive profiles.</w:t>
            </w:r>
          </w:p>
        </w:tc>
      </w:tr>
      <w:tr>
        <w:tc>
          <w:tcPr>
            <w:tcW w:type="dxa" w:w="2493"/>
          </w:tcPr>
          <w:p>
            <w:r>
              <w:t>15</w:t>
            </w:r>
          </w:p>
        </w:tc>
        <w:tc>
          <w:tcPr>
            <w:tcW w:type="dxa" w:w="2493"/>
          </w:tcPr>
          <w:p>
            <w:r>
              <w:t>Implemented with collapsed boundary</w:t>
            </w:r>
          </w:p>
        </w:tc>
        <w:tc>
          <w:tcPr>
            <w:tcW w:type="dxa" w:w="2493"/>
          </w:tcPr>
          <w:p>
            <w:r>
              <w:t>Router escape and candidate narrowing inside routing code</w:t>
            </w:r>
          </w:p>
        </w:tc>
        <w:tc>
          <w:tcPr>
            <w:tcW w:type="dxa" w:w="2493"/>
          </w:tcPr>
          <w:p>
            <w:r>
              <w:t>Layer 15 behavior exists, but it is not isolated as a fully separate module boundary.</w:t>
            </w:r>
          </w:p>
        </w:tc>
      </w:tr>
      <w:tr>
        <w:tc>
          <w:tcPr>
            <w:tcW w:type="dxa" w:w="2493"/>
          </w:tcPr>
          <w:p>
            <w:r>
              <w:t>16</w:t>
            </w:r>
          </w:p>
        </w:tc>
        <w:tc>
          <w:tcPr>
            <w:tcW w:type="dxa" w:w="2493"/>
          </w:tcPr>
          <w:p>
            <w:r>
              <w:t>Implemented</w:t>
            </w:r>
          </w:p>
        </w:tc>
        <w:tc>
          <w:tcPr>
            <w:tcW w:type="dxa" w:w="2493"/>
          </w:tcPr>
          <w:p>
            <w:r>
              <w:t>Fine resolver with configurable temperature/confidence floor</w:t>
            </w:r>
          </w:p>
        </w:tc>
        <w:tc>
          <w:tcPr>
            <w:tcW w:type="dxa" w:w="2493"/>
          </w:tcPr>
          <w:p>
            <w:r>
              <w:t>Intent-adaptive resolver behavior is active in the runtime.</w:t>
            </w:r>
          </w:p>
        </w:tc>
      </w:tr>
      <w:tr>
        <w:tc>
          <w:tcPr>
            <w:tcW w:type="dxa" w:w="2493"/>
          </w:tcPr>
          <w:p>
            <w:r>
              <w:t>17</w:t>
            </w:r>
          </w:p>
        </w:tc>
        <w:tc>
          <w:tcPr>
            <w:tcW w:type="dxa" w:w="2493"/>
          </w:tcPr>
          <w:p>
            <w:r>
              <w:t>Implemented with split realization</w:t>
            </w:r>
          </w:p>
        </w:tc>
        <w:tc>
          <w:tcPr>
            <w:tcW w:type="dxa" w:w="2493"/>
          </w:tcPr>
          <w:p>
            <w:r>
              <w:t>OutputDecoder plus engine-level intent-specific output shaping</w:t>
            </w:r>
          </w:p>
        </w:tc>
        <w:tc>
          <w:tcPr>
            <w:tcW w:type="dxa" w:w="2493"/>
          </w:tcPr>
          <w:p>
            <w:r>
              <w:t>Decoding exists, but part of Layer 17 behavior lives in engine-level shaping functions.</w:t>
            </w:r>
          </w:p>
        </w:tc>
      </w:tr>
      <w:tr>
        <w:tc>
          <w:tcPr>
            <w:tcW w:type="dxa" w:w="2493"/>
          </w:tcPr>
          <w:p>
            <w:r>
              <w:t>18</w:t>
            </w:r>
          </w:p>
        </w:tc>
        <w:tc>
          <w:tcPr>
            <w:tcW w:type="dxa" w:w="2493"/>
          </w:tcPr>
          <w:p>
            <w:r>
              <w:t>Implemented</w:t>
            </w:r>
          </w:p>
        </w:tc>
        <w:tc>
          <w:tcPr>
            <w:tcW w:type="dxa" w:w="2493"/>
          </w:tcPr>
          <w:p>
            <w:r>
              <w:t>Batched feedback queue and durable learning updates</w:t>
            </w:r>
          </w:p>
        </w:tc>
        <w:tc>
          <w:tcPr>
            <w:tcW w:type="dxa" w:w="2493"/>
          </w:tcPr>
          <w:p>
            <w:r>
              <w:t>Feedback is collected asynchronously and committed through a dedicated update path.</w:t>
            </w:r>
          </w:p>
        </w:tc>
      </w:tr>
      <w:tr>
        <w:tc>
          <w:tcPr>
            <w:tcW w:type="dxa" w:w="2493"/>
          </w:tcPr>
          <w:p>
            <w:r>
              <w:t>19</w:t>
            </w:r>
          </w:p>
        </w:tc>
        <w:tc>
          <w:tcPr>
            <w:tcW w:type="dxa" w:w="2493"/>
          </w:tcPr>
          <w:p>
            <w:r>
              <w:t>Implemented</w:t>
            </w:r>
          </w:p>
        </w:tc>
        <w:tc>
          <w:tcPr>
            <w:tcW w:type="dxa" w:w="2493"/>
          </w:tcPr>
          <w:p>
            <w:r>
              <w:t>Trust validator, allowlist bonuses, profile hardening</w:t>
            </w:r>
          </w:p>
        </w:tc>
        <w:tc>
          <w:tcPr>
            <w:tcW w:type="dxa" w:w="2493"/>
          </w:tcPr>
          <w:p>
            <w:r>
              <w:t>Trust is applied to retrieval, evidence merge, and promotion decisions.</w:t>
            </w:r>
          </w:p>
        </w:tc>
      </w:tr>
      <w:tr>
        <w:tc>
          <w:tcPr>
            <w:tcW w:type="dxa" w:w="2493"/>
          </w:tcPr>
          <w:p>
            <w:r>
              <w:t>20</w:t>
            </w:r>
          </w:p>
        </w:tc>
        <w:tc>
          <w:tcPr>
            <w:tcW w:type="dxa" w:w="2493"/>
          </w:tcPr>
          <w:p>
            <w:r>
              <w:t>Implemented</w:t>
            </w:r>
          </w:p>
        </w:tc>
        <w:tc>
          <w:tcPr>
            <w:tcW w:type="dxa" w:w="2493"/>
          </w:tcPr>
          <w:p>
            <w:r>
              <w:t>Trace logging, status telemetry, config sweep harness</w:t>
            </w:r>
          </w:p>
        </w:tc>
        <w:tc>
          <w:tcPr>
            <w:tcW w:type="dxa" w:w="2493"/>
          </w:tcPr>
          <w:p>
            <w:r>
              <w:t>The product emits step-wise traces and training telemetry, and supports config-only optimization sweeps.</w:t>
            </w:r>
          </w:p>
        </w:tc>
      </w:tr>
      <w:tr>
        <w:tc>
          <w:tcPr>
            <w:tcW w:type="dxa" w:w="2493"/>
          </w:tcPr>
          <w:p>
            <w:r>
              <w:t>21</w:t>
            </w:r>
          </w:p>
        </w:tc>
        <w:tc>
          <w:tcPr>
            <w:tcW w:type="dxa" w:w="2493"/>
          </w:tcPr>
          <w:p>
            <w:r>
              <w:t>Implemented</w:t>
            </w:r>
          </w:p>
        </w:tc>
        <w:tc>
          <w:tcPr>
            <w:tcW w:type="dxa" w:w="2493"/>
          </w:tcPr>
          <w:p>
            <w:r>
              <w:t>Pruning, candidate pool, archival, compaction</w:t>
            </w:r>
          </w:p>
        </w:tc>
        <w:tc>
          <w:tcPr>
            <w:tcW w:type="dxa" w:w="2493"/>
          </w:tcPr>
          <w:p>
            <w:r>
              <w:t>Memory governance includes candidate staging, LFU/recency pressure, anchor protection, and archival controls.</w:t>
            </w:r>
          </w:p>
        </w:tc>
      </w:tr>
    </w:tbl>
    <w:p>
      <w:pPr>
        <w:pStyle w:val="Heading2"/>
      </w:pPr>
      <w:r>
        <w:t>Training And Ingestion As Implemented</w:t>
      </w:r>
    </w:p>
    <w:p>
      <w:r>
        <w:t>The current product exposes three training scopes through the CLI and engine plan builder. They preserve the same architectural training model while differing in source set and data access pattern.</w:t>
      </w:r>
    </w:p>
    <w:p>
      <w:pPr>
        <w:pStyle w:val="ListBullet"/>
      </w:pPr>
      <w:r>
        <w:t>Full training: phased silent training over bootstrap, validation, and expansion. The current release-plan sources are Dolly 15K, GSM8K, Wikidata, Wikipedia, SQuAD v2, Natural Questions, public OpenAPI specs, ProofWriter, and Common Crawl.</w:t>
      </w:r>
    </w:p>
    <w:p>
      <w:pPr>
        <w:pStyle w:val="ListBullet"/>
      </w:pPr>
      <w:r>
        <w:t>Dry-run training: a bounded Dolly subset used to validate the post-training path, telemetry, and memory growth behavior before longer jobs are started.</w:t>
      </w:r>
    </w:p>
    <w:p>
      <w:pPr>
        <w:pStyle w:val="ListBullet"/>
      </w:pPr>
      <w:r>
        <w:t>Hugging Face training: a separate streaming scope for curated text-only datasets from openai, karpathy, HuggingFaceFW, HuggingFaceTB, and HuggingFaceH4. This scope is distinct from full training and is optimized for incremental row-batch ingestion rather than heavy local prepare-first corpora.</w:t>
      </w:r>
    </w:p>
    <w:p>
      <w:pPr>
        <w:pStyle w:val="ListBullet"/>
      </w:pPr>
      <w:r>
        <w:t>Local-first preparation: the full scope requires prepare --scope full so large release-plan artifacts are downloaded to .spse_cache before training. The Hugging Face scope is stream-capable and does not require the same heavy local-first prepare flow.</w:t>
      </w:r>
    </w:p>
    <w:p>
      <w:pPr>
        <w:pStyle w:val="ListBullet"/>
      </w:pPr>
      <w:r>
        <w:t>Intent-specific training sources currently present in code are Dolly 15K in the full bootstrap phase, and SmolTalk2 plus UltraChat 200K in the Hugging Face scope.</w:t>
      </w:r>
    </w:p>
    <w:p>
      <w:pPr>
        <w:pStyle w:val="ListBullet"/>
      </w:pPr>
      <w:r>
        <w:t>All silent training plans keep tag_intent = true, but only sources routed to MemoryChannel::Intent become reusable intent memory by default.</w:t>
      </w:r>
    </w:p>
    <w:p>
      <w:pPr>
        <w:pStyle w:val="Heading2"/>
      </w:pPr>
      <w:r>
        <w:t>Current Intent Implementation</w:t>
      </w:r>
    </w:p>
    <w:p>
      <w:r>
        <w:t>Intent recognition in the codebase is not purely hardcoded and not purely learned end-to-end. The current implementation is a hybrid memory-backed system. During training, chunks destined for the Intent channel are heuristically classified and written with intent_label markers in their stored contexts. At runtime, prompts are classified heuristically, then refined by a lookup over Intent-channel units. The final runtime intent blends memory-backed scores with heuristic scores, then drives retrieval gating, candidate-scoring behavior, resolver settings, trust hardening, and intent-specific output shaping.</w:t>
      </w:r>
    </w:p>
    <w:p>
      <w:pPr>
        <w:pStyle w:val="Heading2"/>
      </w:pPr>
      <w:r>
        <w:t>Key Deviations To Read Correctly</w:t>
      </w:r>
    </w:p>
    <w:p>
      <w:pPr>
        <w:pStyle w:val="ListBullet"/>
      </w:pPr>
      <w:r>
        <w:t>Layer 6 should be read as a current engineering realization of hierarchical region indexing, not as a literal octree implementation; the code uses a spatial grid and fixed 3D neighborhood search.</w:t>
      </w:r>
    </w:p>
    <w:p>
      <w:pPr>
        <w:pStyle w:val="ListBullet"/>
      </w:pPr>
      <w:r>
        <w:t>Layer 15 exists behaviorally but is collapsed into the routing implementation instead of standing alone as a separate runtime module boundary.</w:t>
      </w:r>
    </w:p>
    <w:p>
      <w:pPr>
        <w:pStyle w:val="ListBullet"/>
      </w:pPr>
      <w:r>
        <w:t>Layer 17 is split across the output decoder and engine-level answer-shaping logic, especially for plan, act, recommend, classify, translate, debug, critique, and brainstorm intents.</w:t>
      </w:r>
    </w:p>
    <w:p>
      <w:pPr>
        <w:pStyle w:val="ListBullet"/>
      </w:pPr>
      <w:r>
        <w:t>Silent training bypass is structural: the training path never enters the normal prompt-generation pipeline, which achieves the intended architectural bypass of retrieval gating and Layers 14-17 during ingest without a single shared branch point.</w:t>
      </w:r>
    </w:p>
    <w:p>
      <w:pPr>
        <w:pStyle w:val="ListBullet"/>
      </w:pPr>
      <w:r>
        <w:t>The codebase now includes a configuration-driven source-policy layer for heterogeneous data handling. This is the practical realization of the architecture requirement that dataset scaffolding, HTML boilerplate, schema keys, and other non-semantic artifacts must be normalized before unit discovery.</w:t>
      </w:r>
    </w:p>
    <w:p>
      <w:pPr>
        <w:pStyle w:val="Heading2"/>
      </w:pPr>
      <w:r>
        <w:t>Recommended Reading Of This Document Relative To Code</w:t>
      </w:r>
    </w:p>
    <w:p>
      <w:r>
        <w:t>The original v11 architecture remains the normative design and should still be read as the target system structure. The codebase currently follows that structure closely enough for the document to remain valid, but engineering readers should interpret Layer 6, Layer 15, Layer 17, silent training, and intent learning according to this codebase-alignment update. In other words: the main structure of the architecture is followed, while several layer boundaries are implemented pragmatically rather than as one-module-per-layer literalism.</w:t>
      </w: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B3F6E"/>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9528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737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w:hAnsi="Aptos"/>
      <w:color w:val="1B3F6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w:hAnsi="Aptos"/>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color w:val="5F5F5F"/>
      <w:sz w:val="18"/>
    </w:rPr>
  </w:style>
  <w:style w:type="paragraph" w:customStyle="1" w:styleId="Callout">
    <w:name w:val="Callout"/>
    <w:basedOn w:val="Normal"/>
    <w:pPr>
      <w:ind w:left="227" w:right="227"/>
    </w:pPr>
    <w:rPr>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