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1B365D"/>
          <w:sz w:val="32"/>
        </w:rPr>
        <w:t>BÁO CÁO CHI TIẾT: MODULE GIAO DIỆN QT</w:t>
        <w:br/>
        <w:t>(PriorityScheduling-feature-gui)</w:t>
      </w:r>
    </w:p>
    <w:p>
      <w:pPr>
        <w:spacing w:before="280" w:after="120"/>
      </w:pPr>
      <w:r>
        <w:rPr>
          <w:b/>
          <w:color w:val="1B365D"/>
          <w:sz w:val="26"/>
        </w:rPr>
        <w:t>1. Tổng quan &amp; Quy định thuật toán</w:t>
      </w:r>
    </w:p>
    <w:p>
      <w:pPr>
        <w:spacing w:after="80" w:line="276" w:lineRule="auto"/>
      </w:pPr>
      <w:r>
        <w:t>Phần này trình bày rõ ràng cơ chế lập lịch theo quy định chung của đồ án hệ điều hành, đảm bảo sự đồng bộ tuyệt đối với logic cốt lõi (core):</w:t>
      </w:r>
    </w:p>
    <w:p>
      <w:pPr>
        <w:pStyle w:val="ListBullet"/>
        <w:spacing w:after="60" w:line="276" w:lineRule="auto"/>
      </w:pPr>
      <w:r>
        <w:rPr>
          <w:b/>
          <w:color w:val="222222"/>
        </w:rPr>
        <w:t>Mô hình kiến trúc:</w:t>
      </w:r>
      <w:r>
        <w:t xml:space="preserve"> Giao diện người dùng (GUI) được phát triển bằng framework Qt/C++, cung cấp màn hình trực quan (MainWindow) và biểu đồ trực quan (GanttChart) để thực thi hai chế độ lập lịch: Non-Preemptive Priority và Preemptive Priority.</w:t>
      </w:r>
    </w:p>
    <w:p>
      <w:pPr>
        <w:pStyle w:val="ListBullet"/>
        <w:spacing w:after="60" w:line="276" w:lineRule="auto"/>
      </w:pPr>
      <w:r>
        <w:rPr>
          <w:b/>
          <w:color w:val="222222"/>
        </w:rPr>
        <w:t>Quy định độ ưu tiên:</w:t>
      </w:r>
      <w:r>
        <w:t xml:space="preserve"> Giá trị Priority càng nhỏ thì độ ưu tiên của tiến trình càng cao.</w:t>
      </w:r>
    </w:p>
    <w:p>
      <w:pPr>
        <w:pStyle w:val="ListBullet"/>
        <w:spacing w:after="60" w:line="276" w:lineRule="auto"/>
      </w:pPr>
      <w:r>
        <w:rPr>
          <w:b/>
          <w:color w:val="222222"/>
        </w:rPr>
        <w:t>Tiêu chí hòa (Tie-breaking):</w:t>
      </w:r>
      <w:r>
        <w:t xml:space="preserve"> Nếu các tiến trình có cùng mức Priority, tiến trình nào có Arrival Time (AT) nhỏ hơn sẽ được ưu tiên chạy trước. Trong trường hợp cả Priority và Arrival Time đều trùng nhau, tiến trình sẽ được chọn theo thứ tự xuất hiện khi nhập liệu (thứ tự PID tăng dần hoặc thứ tự danh sách).</w:t>
      </w:r>
    </w:p>
    <w:p>
      <w:pPr>
        <w:pStyle w:val="ListBullet"/>
        <w:spacing w:after="60" w:line="276" w:lineRule="auto"/>
      </w:pPr>
      <w:r>
        <w:rPr>
          <w:b/>
          <w:color w:val="222222"/>
        </w:rPr>
        <w:t>Trạng thái CPU (IDLE):</w:t>
      </w:r>
      <w:r>
        <w:t xml:space="preserve"> Khi hệ thống hàng chờ trống (không có tiến trình nào sẵn sàng để thực thi trong khi vẫn còn tiến trình chưa hoàn thành), CPU chuyển sang trạng thái IDLE (nghỉ).</w:t>
      </w:r>
    </w:p>
    <w:p>
      <w:pPr>
        <w:spacing w:before="280" w:after="120"/>
      </w:pPr>
      <w:r>
        <w:rPr>
          <w:b/>
          <w:color w:val="1B365D"/>
          <w:sz w:val="26"/>
        </w:rPr>
        <w:t>2. Cấu trúc dữ liệu chuẩn &amp; Khớp mã nguồn Core</w:t>
      </w:r>
    </w:p>
    <w:p>
      <w:pPr>
        <w:spacing w:after="80" w:line="276" w:lineRule="auto"/>
      </w:pPr>
      <w:r>
        <w:t>Để giải quyết triệt để lỗi 'sai struct' hoặc 'hàm không tồn tại', module UI được thiết kế bám sát 100% các cấu trúc dữ liệu đã được định nghĩa trong core của dự án:</w:t>
      </w:r>
    </w:p>
    <w:p>
      <w:pPr>
        <w:pStyle w:val="ListBullet"/>
        <w:spacing w:after="60" w:line="276" w:lineRule="auto"/>
      </w:pPr>
      <w:r>
        <w:rPr>
          <w:b/>
          <w:color w:val="222222"/>
        </w:rPr>
        <w:t>struct Process (src/core/Process.h):</w:t>
      </w:r>
      <w:r>
        <w:t xml:space="preserve"> Đại diện cho một tiến trình đầu vào, bao gồm: int pid (Mã tiến trình), int arrivalTime (Thời điểm đến AT), long long burstTime (Thời gian thực thi BT), và int priority (Mức độ ưu tiên).</w:t>
      </w:r>
    </w:p>
    <w:p>
      <w:pPr>
        <w:pStyle w:val="ListBullet"/>
        <w:spacing w:after="60" w:line="276" w:lineRule="auto"/>
      </w:pPr>
      <w:r>
        <w:rPr>
          <w:b/>
          <w:color w:val="222222"/>
        </w:rPr>
        <w:t>struct GanttSegment (src/core/GanttSegment.h):</w:t>
      </w:r>
      <w:r>
        <w:t xml:space="preserve"> Đại diện cho một đoạn thực thi trên biểu đồ Gantt, bao gồm: int pid, long long startTime, và long long endTime.</w:t>
      </w:r>
    </w:p>
    <w:p>
      <w:pPr>
        <w:pStyle w:val="ListBullet"/>
        <w:spacing w:after="60" w:line="276" w:lineRule="auto"/>
      </w:pPr>
      <w:r>
        <w:rPr>
          <w:b/>
          <w:color w:val="222222"/>
        </w:rPr>
        <w:t>struct ScheduleResult &amp; ProcessResult (src/core/ScheduleResult.h):</w:t>
      </w:r>
      <w:r>
        <w:t xml:space="preserve"> Chứa danh sách kết quả chi tiết của từng tiến trình (completionTime, turnaroundTime, waitingTime, responseTime) và các chỉ số thống kê tổng hợp quan trọng gồm averageWaitingTime và averageTurnaroundTime (kiểu dữ liệu double).</w:t>
      </w:r>
    </w:p>
    <w:p>
      <w:pPr>
        <w:spacing w:before="280" w:after="120"/>
      </w:pPr>
      <w:r>
        <w:rPr>
          <w:b/>
          <w:color w:val="1B365D"/>
          <w:sz w:val="26"/>
        </w:rPr>
        <w:t>3. Kiểm tra tính hợp lệ dữ liệu (Validation) &amp; Định dạng đầu ra</w:t>
      </w:r>
    </w:p>
    <w:p>
      <w:pPr>
        <w:spacing w:after="80" w:line="276" w:lineRule="auto"/>
      </w:pPr>
      <w:r>
        <w:t>Module giao diện tích hợp các cơ chế kiểm tra dữ liệu nghiêm ngặt trước khi gọi thuật toán lập lịch:</w:t>
      </w:r>
    </w:p>
    <w:p>
      <w:pPr>
        <w:pStyle w:val="ListBullet"/>
        <w:spacing w:after="60" w:line="276" w:lineRule="auto"/>
      </w:pPr>
      <w:r>
        <w:rPr>
          <w:b/>
          <w:color w:val="222222"/>
        </w:rPr>
        <w:t>Validation PID:</w:t>
      </w:r>
      <w:r>
        <w:t xml:space="preserve"> PID phải là số nguyên dương (pid &gt; 0). Hệ thống kiểm tra kỹ lưỡng không cho phép nhập trùng lặp PID giữa các tiến trình để tránh xung đột định danh.</w:t>
      </w:r>
    </w:p>
    <w:p>
      <w:pPr>
        <w:pStyle w:val="ListBullet"/>
        <w:spacing w:after="60" w:line="276" w:lineRule="auto"/>
      </w:pPr>
      <w:r>
        <w:rPr>
          <w:b/>
          <w:color w:val="222222"/>
        </w:rPr>
        <w:t>Validation thông số số học:</w:t>
      </w:r>
      <w:r>
        <w:t xml:space="preserve"> Arrival Time (AT) phải lớn hơn hoặc bằng 0 (AT &gt;= 0); Burst Time (BT) phải là số nguyên dương lớn hơn 0 (BT &gt; 0); Priority phải là số nguyên không âm (Priority &gt;= 0).</w:t>
      </w:r>
    </w:p>
    <w:p>
      <w:pPr>
        <w:pStyle w:val="ListBullet"/>
        <w:spacing w:after="60" w:line="276" w:lineRule="auto"/>
      </w:pPr>
      <w:r>
        <w:rPr>
          <w:b/>
          <w:color w:val="222222"/>
        </w:rPr>
        <w:t>Định dạng kết quả (2 chữ số thập phân):</w:t>
      </w:r>
      <w:r>
        <w:t xml:space="preserve"> Tất cả các kết quả thời gian chờ trung bình (Average Waiting Time) và thời gian quay vòng trung bình (Average Turnaround Time) bắt buộc phải được định dạng và hiển thị chính xác đến 2 chữ số thập phân (dạng %.2f, ví dụ: 6.00, 10.33) trên giao diện kết quả.</w:t>
      </w:r>
    </w:p>
    <w:p>
      <w:pPr>
        <w:spacing w:before="280" w:after="120"/>
      </w:pPr>
      <w:r>
        <w:rPr>
          <w:b/>
          <w:color w:val="1B365D"/>
          <w:sz w:val="26"/>
        </w:rPr>
        <w:t>4. Phân tích Luồng hoạt động (Workflow Analysis)</w:t>
      </w:r>
    </w:p>
    <w:p>
      <w:pPr>
        <w:spacing w:after="80" w:line="276" w:lineRule="auto"/>
      </w:pPr>
      <w:r>
        <w:t>Quy trình xử lý từ lúc người dùng thao tác trên giao diện đến khi nhận kết quả hoàn chỉnh:</w:t>
      </w:r>
    </w:p>
    <w:p>
      <w:pPr>
        <w:pStyle w:val="ListBullet"/>
        <w:spacing w:after="60" w:line="276" w:lineRule="auto"/>
      </w:pPr>
      <w:r>
        <w:rPr>
          <w:b/>
          <w:color w:val="222222"/>
        </w:rPr>
        <w:t>Bước 1 - Nhập liệu:</w:t>
      </w:r>
      <w:r>
        <w:t xml:space="preserve"> Người dùng nhập các thông số của tiến trình vào QTableWidget trên MainWindow, sau đó chọn loại thuật toán lập lịch mong muốn (Non-Preemptive hoặc Preemptive).</w:t>
      </w:r>
    </w:p>
    <w:p>
      <w:pPr>
        <w:pStyle w:val="ListBullet"/>
        <w:spacing w:after="60" w:line="276" w:lineRule="auto"/>
      </w:pPr>
      <w:r>
        <w:rPr>
          <w:b/>
          <w:color w:val="222222"/>
        </w:rPr>
        <w:t>Bước 2 - Kiểm tra hợp lệ (Validation):</w:t>
      </w:r>
      <w:r>
        <w:t xml:space="preserve"> Khi người dùng nhấn nút thực thi, hệ thống gọi hàm validate dữ liệu (kiểm tra PID &gt; 0, không trùng lặp, BT &gt; 0, AT &gt;= 0). Nếu phát sinh lỗi, hiển thị hộp thoại cảnh báo (QMessageBox).</w:t>
      </w:r>
    </w:p>
    <w:p>
      <w:pPr>
        <w:pStyle w:val="ListBullet"/>
        <w:spacing w:after="60" w:line="276" w:lineRule="auto"/>
      </w:pPr>
      <w:r>
        <w:rPr>
          <w:b/>
          <w:color w:val="222222"/>
        </w:rPr>
        <w:t>Bước 3 - Gọi thuật toán Core:</w:t>
      </w:r>
      <w:r>
        <w:t xml:space="preserve"> Dữ liệu trên giao diện được chuyển đổi thành std::vector&lt;Process&gt; chuẩn và gọi bộ điều phối lập lịch tương ứng từ module core.</w:t>
      </w:r>
    </w:p>
    <w:p>
      <w:pPr>
        <w:pStyle w:val="ListBullet"/>
        <w:spacing w:after="60" w:line="276" w:lineRule="auto"/>
      </w:pPr>
      <w:r>
        <w:rPr>
          <w:b/>
          <w:color w:val="222222"/>
        </w:rPr>
        <w:t>Bước 4 - Nhận kết quả:</w:t>
      </w:r>
      <w:r>
        <w:t xml:space="preserve"> Nhận về cấu trúc ScheduleResult chứa chi tiết kết quả từng tiến trình và biểu đồ Gantt.</w:t>
      </w:r>
    </w:p>
    <w:p>
      <w:pPr>
        <w:pStyle w:val="ListBullet"/>
        <w:spacing w:after="60" w:line="276" w:lineRule="auto"/>
      </w:pPr>
      <w:r>
        <w:rPr>
          <w:b/>
          <w:color w:val="222222"/>
        </w:rPr>
        <w:t>Bước 5 - Hiển thị trực quan:</w:t>
      </w:r>
      <w:r>
        <w:t xml:space="preserve"> Cập nhật kết quả lên bảng thống kê (định dạng số thực với 2 chữ số thập phân) và truyền dữ liệu std::vector&lt;GanttSegment&gt; sang widget GanttChart để vẽ sơ đồ thời gian thực thi.</w:t>
      </w:r>
    </w:p>
    <w:p>
      <w:pPr>
        <w:spacing w:before="280" w:after="120"/>
      </w:pPr>
      <w:r>
        <w:rPr>
          <w:b/>
          <w:color w:val="1B365D"/>
          <w:sz w:val="26"/>
        </w:rPr>
        <w:t>5. Trường hợp kiểm thử chi tiết (Test Cases) &amp; Phân tích thuật toán</w:t>
      </w:r>
    </w:p>
    <w:p>
      <w:pPr>
        <w:spacing w:after="80" w:line="276" w:lineRule="auto"/>
      </w:pPr>
      <w:r>
        <w:t>Dưới đây là một kịch bản kiểm thử cụ thể (Test Case) cho thuật toán Non-Preemptive Priority Scheduling nhằm kiểm tra tính chính xác của giao diện và kết quả tính toán:</w:t>
      </w:r>
    </w:p>
    <w:p>
      <w:pPr>
        <w:spacing w:before="160" w:after="80"/>
      </w:pPr>
      <w:r>
        <w:rPr>
          <w:b/>
          <w:color w:val="4A777A"/>
          <w:sz w:val="23"/>
        </w:rPr>
        <w:t>5.1. Dữ liệu đầu vào (Input Process List)</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jc w:val="center"/>
            </w:pPr>
            <w:r>
              <w:rPr>
                <w:b/>
                <w:color w:val="FFFFFF"/>
              </w:rPr>
              <w:t>Process ID (PID)</w:t>
            </w:r>
          </w:p>
        </w:tc>
        <w:tc>
          <w:tcPr>
            <w:tcW w:type="dxa" w:w="2340"/>
            <w:shd w:fill="1B365D"/>
          </w:tcPr>
          <w:p>
            <w:pPr>
              <w:jc w:val="center"/>
            </w:pPr>
            <w:r>
              <w:rPr>
                <w:b/>
                <w:color w:val="FFFFFF"/>
              </w:rPr>
              <w:t>Arrival Time (AT)</w:t>
            </w:r>
          </w:p>
        </w:tc>
        <w:tc>
          <w:tcPr>
            <w:tcW w:type="dxa" w:w="2340"/>
            <w:shd w:fill="1B365D"/>
          </w:tcPr>
          <w:p>
            <w:pPr>
              <w:jc w:val="center"/>
            </w:pPr>
            <w:r>
              <w:rPr>
                <w:b/>
                <w:color w:val="FFFFFF"/>
              </w:rPr>
              <w:t>Burst Time (BT)</w:t>
            </w:r>
          </w:p>
        </w:tc>
        <w:tc>
          <w:tcPr>
            <w:tcW w:type="dxa" w:w="2340"/>
            <w:shd w:fill="1B365D"/>
          </w:tcPr>
          <w:p>
            <w:pPr>
              <w:jc w:val="center"/>
            </w:pPr>
            <w:r>
              <w:rPr>
                <w:b/>
                <w:color w:val="FFFFFF"/>
              </w:rPr>
              <w:t>Priority</w:t>
            </w:r>
          </w:p>
        </w:tc>
      </w:tr>
      <w:tr>
        <w:tc>
          <w:tcPr>
            <w:tcW w:type="dxa" w:w="2340"/>
            <w:shd w:fill="FFFFFF"/>
          </w:tcPr>
          <w:p>
            <w:pPr>
              <w:jc w:val="center"/>
            </w:pPr>
            <w:r>
              <w:t>P1</w:t>
            </w:r>
          </w:p>
        </w:tc>
        <w:tc>
          <w:tcPr>
            <w:tcW w:type="dxa" w:w="2340"/>
            <w:shd w:fill="FFFFFF"/>
          </w:tcPr>
          <w:p>
            <w:pPr>
              <w:jc w:val="center"/>
            </w:pPr>
            <w:r>
              <w:t>0</w:t>
            </w:r>
          </w:p>
        </w:tc>
        <w:tc>
          <w:tcPr>
            <w:tcW w:type="dxa" w:w="2340"/>
            <w:shd w:fill="FFFFFF"/>
          </w:tcPr>
          <w:p>
            <w:pPr>
              <w:jc w:val="center"/>
            </w:pPr>
            <w:r>
              <w:t>10</w:t>
            </w:r>
          </w:p>
        </w:tc>
        <w:tc>
          <w:tcPr>
            <w:tcW w:type="dxa" w:w="2340"/>
            <w:shd w:fill="FFFFFF"/>
          </w:tcPr>
          <w:p>
            <w:pPr>
              <w:jc w:val="center"/>
            </w:pPr>
            <w:r>
              <w:t>3</w:t>
            </w:r>
          </w:p>
        </w:tc>
      </w:tr>
      <w:tr>
        <w:tc>
          <w:tcPr>
            <w:tcW w:type="dxa" w:w="2340"/>
            <w:shd w:fill="F2F5F8"/>
          </w:tcPr>
          <w:p>
            <w:pPr>
              <w:jc w:val="center"/>
            </w:pPr>
            <w:r>
              <w:t>P2</w:t>
            </w:r>
          </w:p>
        </w:tc>
        <w:tc>
          <w:tcPr>
            <w:tcW w:type="dxa" w:w="2340"/>
            <w:shd w:fill="F2F5F8"/>
          </w:tcPr>
          <w:p>
            <w:pPr>
              <w:jc w:val="center"/>
            </w:pPr>
            <w:r>
              <w:t>1</w:t>
            </w:r>
          </w:p>
        </w:tc>
        <w:tc>
          <w:tcPr>
            <w:tcW w:type="dxa" w:w="2340"/>
            <w:shd w:fill="F2F5F8"/>
          </w:tcPr>
          <w:p>
            <w:pPr>
              <w:jc w:val="center"/>
            </w:pPr>
            <w:r>
              <w:t>1</w:t>
            </w:r>
          </w:p>
        </w:tc>
        <w:tc>
          <w:tcPr>
            <w:tcW w:type="dxa" w:w="2340"/>
            <w:shd w:fill="F2F5F8"/>
          </w:tcPr>
          <w:p>
            <w:pPr>
              <w:jc w:val="center"/>
            </w:pPr>
            <w:r>
              <w:t>1</w:t>
            </w:r>
          </w:p>
        </w:tc>
      </w:tr>
      <w:tr>
        <w:tc>
          <w:tcPr>
            <w:tcW w:type="dxa" w:w="2340"/>
            <w:shd w:fill="FFFFFF"/>
          </w:tcPr>
          <w:p>
            <w:pPr>
              <w:jc w:val="center"/>
            </w:pPr>
            <w:r>
              <w:t>P3</w:t>
            </w:r>
          </w:p>
        </w:tc>
        <w:tc>
          <w:tcPr>
            <w:tcW w:type="dxa" w:w="2340"/>
            <w:shd w:fill="FFFFFF"/>
          </w:tcPr>
          <w:p>
            <w:pPr>
              <w:jc w:val="center"/>
            </w:pPr>
            <w:r>
              <w:t>2</w:t>
            </w:r>
          </w:p>
        </w:tc>
        <w:tc>
          <w:tcPr>
            <w:tcW w:type="dxa" w:w="2340"/>
            <w:shd w:fill="FFFFFF"/>
          </w:tcPr>
          <w:p>
            <w:pPr>
              <w:jc w:val="center"/>
            </w:pPr>
            <w:r>
              <w:t>2</w:t>
            </w:r>
          </w:p>
        </w:tc>
        <w:tc>
          <w:tcPr>
            <w:tcW w:type="dxa" w:w="2340"/>
            <w:shd w:fill="FFFFFF"/>
          </w:tcPr>
          <w:p>
            <w:pPr>
              <w:jc w:val="center"/>
            </w:pPr>
            <w:r>
              <w:t>2</w:t>
            </w:r>
          </w:p>
        </w:tc>
      </w:tr>
    </w:tbl>
    <w:p>
      <w:pPr>
        <w:spacing w:after="80"/>
      </w:pPr>
    </w:p>
    <w:p>
      <w:pPr>
        <w:spacing w:before="160" w:after="80"/>
      </w:pPr>
      <w:r>
        <w:rPr>
          <w:b/>
          <w:color w:val="4A777A"/>
          <w:sz w:val="23"/>
        </w:rPr>
        <w:t>5.2. Kết quả tính toán chi tiết (Output Metrics)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Pr>
          <w:p>
            <w:pPr>
              <w:jc w:val="center"/>
            </w:pPr>
            <w:r>
              <w:rPr>
                <w:b/>
                <w:color w:val="FFFFFF"/>
              </w:rPr>
              <w:t>PID</w:t>
            </w:r>
          </w:p>
        </w:tc>
        <w:tc>
          <w:tcPr>
            <w:tcW w:type="dxa" w:w="1170"/>
            <w:shd w:fill="1B365D"/>
          </w:tcPr>
          <w:p>
            <w:pPr>
              <w:jc w:val="center"/>
            </w:pPr>
            <w:r>
              <w:rPr>
                <w:b/>
                <w:color w:val="FFFFFF"/>
              </w:rPr>
              <w:t>AT</w:t>
            </w:r>
          </w:p>
        </w:tc>
        <w:tc>
          <w:tcPr>
            <w:tcW w:type="dxa" w:w="1170"/>
            <w:shd w:fill="1B365D"/>
          </w:tcPr>
          <w:p>
            <w:pPr>
              <w:jc w:val="center"/>
            </w:pPr>
            <w:r>
              <w:rPr>
                <w:b/>
                <w:color w:val="FFFFFF"/>
              </w:rPr>
              <w:t>BT</w:t>
            </w:r>
          </w:p>
        </w:tc>
        <w:tc>
          <w:tcPr>
            <w:tcW w:type="dxa" w:w="1170"/>
            <w:shd w:fill="1B365D"/>
          </w:tcPr>
          <w:p>
            <w:pPr>
              <w:jc w:val="center"/>
            </w:pPr>
            <w:r>
              <w:rPr>
                <w:b/>
                <w:color w:val="FFFFFF"/>
              </w:rPr>
              <w:t>Priority</w:t>
            </w:r>
          </w:p>
        </w:tc>
        <w:tc>
          <w:tcPr>
            <w:tcW w:type="dxa" w:w="1170"/>
            <w:shd w:fill="1B365D"/>
          </w:tcPr>
          <w:p>
            <w:pPr>
              <w:jc w:val="center"/>
            </w:pPr>
            <w:r>
              <w:rPr>
                <w:b/>
                <w:color w:val="FFFFFF"/>
              </w:rPr>
              <w:t>CT</w:t>
            </w:r>
          </w:p>
        </w:tc>
        <w:tc>
          <w:tcPr>
            <w:tcW w:type="dxa" w:w="1170"/>
            <w:shd w:fill="1B365D"/>
          </w:tcPr>
          <w:p>
            <w:pPr>
              <w:jc w:val="center"/>
            </w:pPr>
            <w:r>
              <w:rPr>
                <w:b/>
                <w:color w:val="FFFFFF"/>
              </w:rPr>
              <w:t>TAT</w:t>
            </w:r>
          </w:p>
        </w:tc>
        <w:tc>
          <w:tcPr>
            <w:tcW w:type="dxa" w:w="1170"/>
            <w:shd w:fill="1B365D"/>
          </w:tcPr>
          <w:p>
            <w:pPr>
              <w:jc w:val="center"/>
            </w:pPr>
            <w:r>
              <w:rPr>
                <w:b/>
                <w:color w:val="FFFFFF"/>
              </w:rPr>
              <w:t>WT</w:t>
            </w:r>
          </w:p>
        </w:tc>
        <w:tc>
          <w:tcPr>
            <w:tcW w:type="dxa" w:w="1170"/>
            <w:shd w:fill="1B365D"/>
          </w:tcPr>
          <w:p>
            <w:pPr>
              <w:jc w:val="center"/>
            </w:pPr>
            <w:r>
              <w:rPr>
                <w:b/>
                <w:color w:val="FFFFFF"/>
              </w:rPr>
              <w:t>RT</w:t>
            </w:r>
          </w:p>
        </w:tc>
      </w:tr>
      <w:tr>
        <w:tc>
          <w:tcPr>
            <w:tcW w:type="dxa" w:w="1170"/>
            <w:shd w:fill="FFFFFF"/>
          </w:tcPr>
          <w:p>
            <w:pPr>
              <w:jc w:val="center"/>
            </w:pPr>
            <w:r>
              <w:t>P1</w:t>
            </w:r>
          </w:p>
        </w:tc>
        <w:tc>
          <w:tcPr>
            <w:tcW w:type="dxa" w:w="1170"/>
            <w:shd w:fill="FFFFFF"/>
          </w:tcPr>
          <w:p>
            <w:pPr>
              <w:jc w:val="center"/>
            </w:pPr>
            <w:r>
              <w:t>0</w:t>
            </w:r>
          </w:p>
        </w:tc>
        <w:tc>
          <w:tcPr>
            <w:tcW w:type="dxa" w:w="1170"/>
            <w:shd w:fill="FFFFFF"/>
          </w:tcPr>
          <w:p>
            <w:pPr>
              <w:jc w:val="center"/>
            </w:pPr>
            <w:r>
              <w:t>10</w:t>
            </w:r>
          </w:p>
        </w:tc>
        <w:tc>
          <w:tcPr>
            <w:tcW w:type="dxa" w:w="1170"/>
            <w:shd w:fill="FFFFFF"/>
          </w:tcPr>
          <w:p>
            <w:pPr>
              <w:jc w:val="center"/>
            </w:pPr>
            <w:r>
              <w:t>3</w:t>
            </w:r>
          </w:p>
        </w:tc>
        <w:tc>
          <w:tcPr>
            <w:tcW w:type="dxa" w:w="1170"/>
            <w:shd w:fill="FFFFFF"/>
          </w:tcPr>
          <w:p>
            <w:pPr>
              <w:jc w:val="center"/>
            </w:pPr>
            <w:r>
              <w:t>10</w:t>
            </w:r>
          </w:p>
        </w:tc>
        <w:tc>
          <w:tcPr>
            <w:tcW w:type="dxa" w:w="1170"/>
            <w:shd w:fill="FFFFFF"/>
          </w:tcPr>
          <w:p>
            <w:pPr>
              <w:jc w:val="center"/>
            </w:pPr>
            <w:r>
              <w:t>10</w:t>
            </w:r>
          </w:p>
        </w:tc>
        <w:tc>
          <w:tcPr>
            <w:tcW w:type="dxa" w:w="1170"/>
            <w:shd w:fill="FFFFFF"/>
          </w:tcPr>
          <w:p>
            <w:pPr>
              <w:jc w:val="center"/>
            </w:pPr>
            <w:r>
              <w:t>0</w:t>
            </w:r>
          </w:p>
        </w:tc>
        <w:tc>
          <w:tcPr>
            <w:tcW w:type="dxa" w:w="1170"/>
            <w:shd w:fill="FFFFFF"/>
          </w:tcPr>
          <w:p>
            <w:pPr>
              <w:jc w:val="center"/>
            </w:pPr>
            <w:r>
              <w:t>0</w:t>
            </w:r>
          </w:p>
        </w:tc>
      </w:tr>
      <w:tr>
        <w:tc>
          <w:tcPr>
            <w:tcW w:type="dxa" w:w="1170"/>
            <w:shd w:fill="F2F5F8"/>
          </w:tcPr>
          <w:p>
            <w:pPr>
              <w:jc w:val="center"/>
            </w:pPr>
            <w:r>
              <w:t>P2</w:t>
            </w:r>
          </w:p>
        </w:tc>
        <w:tc>
          <w:tcPr>
            <w:tcW w:type="dxa" w:w="1170"/>
            <w:shd w:fill="F2F5F8"/>
          </w:tcPr>
          <w:p>
            <w:pPr>
              <w:jc w:val="center"/>
            </w:pPr>
            <w:r>
              <w:t>1</w:t>
            </w:r>
          </w:p>
        </w:tc>
        <w:tc>
          <w:tcPr>
            <w:tcW w:type="dxa" w:w="1170"/>
            <w:shd w:fill="F2F5F8"/>
          </w:tcPr>
          <w:p>
            <w:pPr>
              <w:jc w:val="center"/>
            </w:pPr>
            <w:r>
              <w:t>1</w:t>
            </w:r>
          </w:p>
        </w:tc>
        <w:tc>
          <w:tcPr>
            <w:tcW w:type="dxa" w:w="1170"/>
            <w:shd w:fill="F2F5F8"/>
          </w:tcPr>
          <w:p>
            <w:pPr>
              <w:jc w:val="center"/>
            </w:pPr>
            <w:r>
              <w:t>1</w:t>
            </w:r>
          </w:p>
        </w:tc>
        <w:tc>
          <w:tcPr>
            <w:tcW w:type="dxa" w:w="1170"/>
            <w:shd w:fill="F2F5F8"/>
          </w:tcPr>
          <w:p>
            <w:pPr>
              <w:jc w:val="center"/>
            </w:pPr>
            <w:r>
              <w:t>11</w:t>
            </w:r>
          </w:p>
        </w:tc>
        <w:tc>
          <w:tcPr>
            <w:tcW w:type="dxa" w:w="1170"/>
            <w:shd w:fill="F2F5F8"/>
          </w:tcPr>
          <w:p>
            <w:pPr>
              <w:jc w:val="center"/>
            </w:pPr>
            <w:r>
              <w:t>10</w:t>
            </w:r>
          </w:p>
        </w:tc>
        <w:tc>
          <w:tcPr>
            <w:tcW w:type="dxa" w:w="1170"/>
            <w:shd w:fill="F2F5F8"/>
          </w:tcPr>
          <w:p>
            <w:pPr>
              <w:jc w:val="center"/>
            </w:pPr>
            <w:r>
              <w:t>9</w:t>
            </w:r>
          </w:p>
        </w:tc>
        <w:tc>
          <w:tcPr>
            <w:tcW w:type="dxa" w:w="1170"/>
            <w:shd w:fill="F2F5F8"/>
          </w:tcPr>
          <w:p>
            <w:pPr>
              <w:jc w:val="center"/>
            </w:pPr>
            <w:r>
              <w:t>9</w:t>
            </w:r>
          </w:p>
        </w:tc>
      </w:tr>
      <w:tr>
        <w:tc>
          <w:tcPr>
            <w:tcW w:type="dxa" w:w="1170"/>
            <w:shd w:fill="FFFFFF"/>
          </w:tcPr>
          <w:p>
            <w:pPr>
              <w:jc w:val="center"/>
            </w:pPr>
            <w:r>
              <w:t>P3</w:t>
            </w:r>
          </w:p>
        </w:tc>
        <w:tc>
          <w:tcPr>
            <w:tcW w:type="dxa" w:w="1170"/>
            <w:shd w:fill="FFFFFF"/>
          </w:tcPr>
          <w:p>
            <w:pPr>
              <w:jc w:val="center"/>
            </w:pPr>
            <w:r>
              <w:t>2</w:t>
            </w:r>
          </w:p>
        </w:tc>
        <w:tc>
          <w:tcPr>
            <w:tcW w:type="dxa" w:w="1170"/>
            <w:shd w:fill="FFFFFF"/>
          </w:tcPr>
          <w:p>
            <w:pPr>
              <w:jc w:val="center"/>
            </w:pPr>
            <w:r>
              <w:t>2</w:t>
            </w:r>
          </w:p>
        </w:tc>
        <w:tc>
          <w:tcPr>
            <w:tcW w:type="dxa" w:w="1170"/>
            <w:shd w:fill="FFFFFF"/>
          </w:tcPr>
          <w:p>
            <w:pPr>
              <w:jc w:val="center"/>
            </w:pPr>
            <w:r>
              <w:t>2</w:t>
            </w:r>
          </w:p>
        </w:tc>
        <w:tc>
          <w:tcPr>
            <w:tcW w:type="dxa" w:w="1170"/>
            <w:shd w:fill="FFFFFF"/>
          </w:tcPr>
          <w:p>
            <w:pPr>
              <w:jc w:val="center"/>
            </w:pPr>
            <w:r>
              <w:t>13</w:t>
            </w:r>
          </w:p>
        </w:tc>
        <w:tc>
          <w:tcPr>
            <w:tcW w:type="dxa" w:w="1170"/>
            <w:shd w:fill="FFFFFF"/>
          </w:tcPr>
          <w:p>
            <w:pPr>
              <w:jc w:val="center"/>
            </w:pPr>
            <w:r>
              <w:t>11</w:t>
            </w:r>
          </w:p>
        </w:tc>
        <w:tc>
          <w:tcPr>
            <w:tcW w:type="dxa" w:w="1170"/>
            <w:shd w:fill="FFFFFF"/>
          </w:tcPr>
          <w:p>
            <w:pPr>
              <w:jc w:val="center"/>
            </w:pPr>
            <w:r>
              <w:t>9</w:t>
            </w:r>
          </w:p>
        </w:tc>
        <w:tc>
          <w:tcPr>
            <w:tcW w:type="dxa" w:w="1170"/>
            <w:shd w:fill="FFFFFF"/>
          </w:tcPr>
          <w:p>
            <w:pPr>
              <w:jc w:val="center"/>
            </w:pPr>
            <w:r>
              <w:t>9</w:t>
            </w:r>
          </w:p>
        </w:tc>
      </w:tr>
    </w:tbl>
    <w:p>
      <w:pPr>
        <w:spacing w:after="80"/>
      </w:pPr>
    </w:p>
    <w:p>
      <w:pPr>
        <w:spacing w:before="160" w:after="80"/>
      </w:pPr>
      <w:r>
        <w:rPr>
          <w:b/>
          <w:color w:val="4A777A"/>
          <w:sz w:val="23"/>
        </w:rPr>
        <w:t>5.3. Phân tích kết quả tổng hợp &amp; Định dạng hiển thị</w:t>
      </w:r>
    </w:p>
    <w:p>
      <w:pPr>
        <w:pStyle w:val="ListBullet"/>
        <w:spacing w:after="60" w:line="276" w:lineRule="auto"/>
      </w:pPr>
      <w:r>
        <w:rPr>
          <w:b/>
          <w:color w:val="222222"/>
        </w:rPr>
        <w:t>Chỉ số WT Trung bình:</w:t>
      </w:r>
      <w:r>
        <w:t xml:space="preserve"> Thời gian chờ trung bình (Average Waiting Time): (0 + 9 + 9) / 3 = 18 / 3 = 6.00</w:t>
      </w:r>
    </w:p>
    <w:p>
      <w:pPr>
        <w:pStyle w:val="ListBullet"/>
        <w:spacing w:after="60" w:line="276" w:lineRule="auto"/>
      </w:pPr>
      <w:r>
        <w:rPr>
          <w:b/>
          <w:color w:val="222222"/>
        </w:rPr>
        <w:t>Chỉ số TAT Trung bình:</w:t>
      </w:r>
      <w:r>
        <w:t xml:space="preserve"> Thời gian quay vòng trung bình (Average Turnaround Time): (10 + 10 + 11) / 3 = 31 / 3 = 10.33</w:t>
      </w:r>
    </w:p>
    <w:p>
      <w:pPr>
        <w:pStyle w:val="ListBullet"/>
        <w:spacing w:after="60" w:line="276" w:lineRule="auto"/>
      </w:pPr>
      <w:r>
        <w:rPr>
          <w:b/>
          <w:color w:val="222222"/>
        </w:rPr>
        <w:t>Quy chuẩn hiển thị:</w:t>
      </w:r>
      <w:r>
        <w:t xml:space="preserve"> Giao diện thực hiện ép định dạng chuỗi bằng hàm QString::number(value, 'f', 2) để đảm bảo mọi giá trị thống kê trung bình luôn hiển thị chuẩn xác đúng 2 chữ số thập phân trên bảng kết quả.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